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E9471" w14:textId="786AAE54" w:rsidR="0027108A" w:rsidRDefault="0027108A" w:rsidP="0027108A">
      <w:pPr>
        <w:tabs>
          <w:tab w:val="center" w:pos="4536"/>
          <w:tab w:val="right" w:pos="8280"/>
          <w:tab w:val="right" w:pos="9781"/>
        </w:tabs>
        <w:ind w:right="-58"/>
        <w:rPr>
          <w:rFonts w:ascii="Arial" w:hAnsi="Arial" w:cs="Arial"/>
          <w:b/>
          <w:bCs/>
          <w:sz w:val="28"/>
        </w:rPr>
      </w:pPr>
      <w:r>
        <w:rPr>
          <w:rFonts w:ascii="Arial" w:hAnsi="Arial" w:cs="Arial"/>
          <w:b/>
          <w:bCs/>
          <w:sz w:val="28"/>
        </w:rPr>
        <w:t>3GPP TSG RAN WG1 Meeting #8</w:t>
      </w:r>
      <w:r>
        <w:rPr>
          <w:rFonts w:ascii="Arial" w:eastAsia="MS Mincho" w:hAnsi="Arial" w:cs="Arial"/>
          <w:b/>
          <w:bCs/>
          <w:sz w:val="28"/>
          <w:lang w:eastAsia="ja-JP"/>
        </w:rPr>
        <w:t>9</w:t>
      </w:r>
      <w:r>
        <w:rPr>
          <w:rFonts w:ascii="Arial" w:hAnsi="Arial" w:cs="Arial"/>
          <w:b/>
          <w:bCs/>
          <w:sz w:val="28"/>
        </w:rPr>
        <w:t xml:space="preserve">               </w:t>
      </w:r>
      <w:r>
        <w:rPr>
          <w:rFonts w:ascii="Arial" w:eastAsia="MS Mincho" w:hAnsi="Arial" w:cs="Arial"/>
          <w:b/>
          <w:bCs/>
          <w:sz w:val="28"/>
          <w:lang w:eastAsia="ja-JP"/>
        </w:rPr>
        <w:t xml:space="preserve">                             </w:t>
      </w:r>
      <w:r>
        <w:rPr>
          <w:rFonts w:ascii="Arial" w:hAnsi="Arial" w:cs="Arial"/>
          <w:b/>
          <w:bCs/>
          <w:sz w:val="28"/>
        </w:rPr>
        <w:tab/>
        <w:t>R1-</w:t>
      </w:r>
      <w:r w:rsidR="00830700" w:rsidRPr="00830700">
        <w:rPr>
          <w:rFonts w:ascii="Arial" w:hAnsi="Arial" w:cs="Arial"/>
          <w:b/>
          <w:bCs/>
          <w:sz w:val="28"/>
        </w:rPr>
        <w:t>1708808</w:t>
      </w:r>
    </w:p>
    <w:p w14:paraId="58916759" w14:textId="77777777" w:rsidR="0027108A" w:rsidRDefault="0027108A" w:rsidP="0027108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Hangzhou</w:t>
      </w:r>
      <w:r>
        <w:rPr>
          <w:rFonts w:ascii="Arial" w:hAnsi="Arial" w:cs="Arial"/>
          <w:b/>
          <w:bCs/>
          <w:sz w:val="28"/>
        </w:rPr>
        <w:t xml:space="preserve">, China </w:t>
      </w:r>
      <w:r>
        <w:rPr>
          <w:rFonts w:ascii="Arial" w:eastAsia="MS Mincho" w:hAnsi="Arial" w:cs="Arial"/>
          <w:b/>
          <w:bCs/>
          <w:sz w:val="28"/>
          <w:lang w:eastAsia="ja-JP"/>
        </w:rPr>
        <w:t>15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hAnsi="Arial" w:cs="Arial"/>
          <w:b/>
          <w:bCs/>
          <w:sz w:val="28"/>
        </w:rPr>
        <w:t xml:space="preserve">- </w:t>
      </w:r>
      <w:r>
        <w:rPr>
          <w:rFonts w:ascii="Arial" w:eastAsia="MS Mincho" w:hAnsi="Arial" w:cs="Arial"/>
          <w:b/>
          <w:bCs/>
          <w:sz w:val="28"/>
          <w:lang w:eastAsia="ja-JP"/>
        </w:rPr>
        <w:t>19</w:t>
      </w:r>
      <w:r>
        <w:rPr>
          <w:rFonts w:ascii="Arial" w:hAnsi="Arial" w:cs="Arial"/>
          <w:b/>
          <w:bCs/>
          <w:sz w:val="28"/>
          <w:vertAlign w:val="superscript"/>
        </w:rPr>
        <w:t>th</w:t>
      </w:r>
      <w:r>
        <w:rPr>
          <w:rFonts w:ascii="Arial" w:hAnsi="Arial" w:cs="Arial"/>
          <w:b/>
          <w:bCs/>
          <w:sz w:val="28"/>
        </w:rPr>
        <w:t xml:space="preserve"> </w:t>
      </w:r>
      <w:r>
        <w:rPr>
          <w:rFonts w:ascii="Arial" w:eastAsia="MS Mincho" w:hAnsi="Arial" w:cs="Arial"/>
          <w:b/>
          <w:bCs/>
          <w:sz w:val="28"/>
          <w:lang w:eastAsia="ja-JP"/>
        </w:rPr>
        <w:t>May</w:t>
      </w:r>
      <w:r>
        <w:rPr>
          <w:rFonts w:ascii="Arial" w:hAnsi="Arial" w:cs="Arial"/>
          <w:b/>
          <w:bCs/>
          <w:sz w:val="28"/>
        </w:rPr>
        <w:t xml:space="preserve"> 201</w:t>
      </w:r>
      <w:r>
        <w:rPr>
          <w:rFonts w:ascii="Arial" w:eastAsia="MS Mincho" w:hAnsi="Arial" w:cs="Arial"/>
          <w:b/>
          <w:bCs/>
          <w:sz w:val="28"/>
          <w:lang w:eastAsia="ja-JP"/>
        </w:rPr>
        <w:t>7</w:t>
      </w:r>
    </w:p>
    <w:p w14:paraId="6AF0B103" w14:textId="77777777" w:rsidR="00921EBD" w:rsidRPr="000A64D8" w:rsidRDefault="00921EBD" w:rsidP="00921EBD">
      <w:pPr>
        <w:pStyle w:val="Footer"/>
        <w:jc w:val="both"/>
        <w:rPr>
          <w:noProof w:val="0"/>
        </w:rPr>
      </w:pPr>
    </w:p>
    <w:p w14:paraId="43B7F87C" w14:textId="24E6717A"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7108A">
        <w:rPr>
          <w:rFonts w:ascii="Arial" w:hAnsi="Arial"/>
          <w:sz w:val="24"/>
        </w:rPr>
        <w:t>6.2.</w:t>
      </w:r>
      <w:r w:rsidR="00BE5983">
        <w:rPr>
          <w:rFonts w:ascii="Arial" w:hAnsi="Arial"/>
          <w:sz w:val="24"/>
        </w:rPr>
        <w:t>7</w:t>
      </w:r>
      <w:bookmarkStart w:id="1" w:name="_GoBack"/>
      <w:bookmarkEnd w:id="1"/>
      <w:r w:rsidR="0027108A">
        <w:rPr>
          <w:rFonts w:ascii="Arial" w:hAnsi="Arial"/>
          <w:sz w:val="24"/>
        </w:rPr>
        <w:t>.5</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19AA8FBD" w:rsidR="00C10599" w:rsidRPr="008D04FE"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21B5B" w:rsidRPr="008D04FE">
        <w:rPr>
          <w:rFonts w:ascii="Arial" w:hAnsi="Arial"/>
          <w:sz w:val="24"/>
        </w:rPr>
        <w:t xml:space="preserve">Reduced system acquisition </w:t>
      </w:r>
      <w:r w:rsidR="00BD5F89">
        <w:rPr>
          <w:rFonts w:ascii="Arial" w:hAnsi="Arial"/>
          <w:sz w:val="24"/>
        </w:rPr>
        <w:t>time</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07AC5E58" w14:textId="7DFAEDBF" w:rsidR="0027108A" w:rsidRDefault="0027108A" w:rsidP="0027108A">
      <w:pPr>
        <w:jc w:val="both"/>
      </w:pPr>
      <w:r w:rsidRPr="009D2FC3">
        <w:t>In RAN#75, a new work item [1] on further NB-</w:t>
      </w:r>
      <w:proofErr w:type="spellStart"/>
      <w:r w:rsidRPr="009D2FC3">
        <w:t>IoT</w:t>
      </w:r>
      <w:proofErr w:type="spellEnd"/>
      <w:r w:rsidRPr="009D2FC3">
        <w:t xml:space="preserve"> enhancements was approved. This work item includes the </w:t>
      </w:r>
      <w:r>
        <w:t>objective of improving SI acquisition.</w:t>
      </w:r>
    </w:p>
    <w:p w14:paraId="7C4B2EB6" w14:textId="77777777" w:rsidR="0027108A" w:rsidRDefault="0027108A" w:rsidP="0027108A">
      <w:pPr>
        <w:jc w:val="both"/>
      </w:pPr>
    </w:p>
    <w:p w14:paraId="1A53C740" w14:textId="6750C72E" w:rsidR="004C68FE" w:rsidRDefault="0027108A" w:rsidP="004C68FE">
      <w:pPr>
        <w:pStyle w:val="Heading1"/>
      </w:pPr>
      <w:r>
        <w:t>Nature of possible solutions</w:t>
      </w:r>
    </w:p>
    <w:p w14:paraId="65CB9298" w14:textId="3EB5A180" w:rsidR="0027108A" w:rsidRPr="0027108A" w:rsidRDefault="0027108A" w:rsidP="0027108A">
      <w:pPr>
        <w:rPr>
          <w:lang w:val="en-GB"/>
        </w:rPr>
      </w:pPr>
      <w:r>
        <w:t>In RAN1#88b the following options were agreed as candidates for reducing system acquisition time:</w:t>
      </w:r>
    </w:p>
    <w:p w14:paraId="7292659D" w14:textId="77777777" w:rsidR="0027108A" w:rsidRDefault="0027108A" w:rsidP="0027108A">
      <w:pPr>
        <w:rPr>
          <w:rFonts w:eastAsia="MS Mincho"/>
          <w:highlight w:val="green"/>
          <w:lang w:eastAsia="ja-JP"/>
        </w:rPr>
      </w:pPr>
      <w:r>
        <w:rPr>
          <w:rFonts w:eastAsia="MS Mincho"/>
          <w:highlight w:val="green"/>
          <w:lang w:eastAsia="ja-JP"/>
        </w:rPr>
        <w:t>Agreements:</w:t>
      </w:r>
    </w:p>
    <w:p w14:paraId="75511DEF" w14:textId="77777777" w:rsidR="0027108A" w:rsidRDefault="0027108A" w:rsidP="0027108A">
      <w:pPr>
        <w:numPr>
          <w:ilvl w:val="0"/>
          <w:numId w:val="16"/>
        </w:numPr>
        <w:overflowPunct/>
        <w:autoSpaceDE/>
        <w:autoSpaceDN/>
        <w:adjustRightInd/>
        <w:spacing w:after="0"/>
        <w:textAlignment w:val="auto"/>
        <w:rPr>
          <w:rFonts w:eastAsia="MS Mincho"/>
          <w:lang w:eastAsia="ja-JP"/>
        </w:rPr>
      </w:pPr>
      <w:r>
        <w:rPr>
          <w:rFonts w:eastAsia="MS Mincho"/>
          <w:lang w:eastAsia="ja-JP"/>
        </w:rPr>
        <w:t>For reduced system acquisition time for NB-</w:t>
      </w:r>
      <w:proofErr w:type="spellStart"/>
      <w:r>
        <w:rPr>
          <w:rFonts w:eastAsia="MS Mincho"/>
          <w:lang w:eastAsia="ja-JP"/>
        </w:rPr>
        <w:t>IoT</w:t>
      </w:r>
      <w:proofErr w:type="spellEnd"/>
      <w:r>
        <w:rPr>
          <w:rFonts w:eastAsia="MS Mincho"/>
          <w:lang w:eastAsia="ja-JP"/>
        </w:rPr>
        <w:t>, at least the following candidates can be considered</w:t>
      </w:r>
    </w:p>
    <w:p w14:paraId="43F65B3A"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Enhancement(s) to NPSS/NSSS</w:t>
      </w:r>
    </w:p>
    <w:p w14:paraId="5D168E38"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 xml:space="preserve">Enhancement(s) to MIB-NB </w:t>
      </w:r>
    </w:p>
    <w:p w14:paraId="455AE57E"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SIB1-NB accumulation across multiple SIB1-NB TTIs (with or without specification impact)</w:t>
      </w:r>
    </w:p>
    <w:p w14:paraId="4B22E2DF"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New mechanism allowing to skip SIB1-NB and/or SI messages and/or MIB-NB reading</w:t>
      </w:r>
    </w:p>
    <w:p w14:paraId="14666586"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 xml:space="preserve">Additional SIB1-NB is transmitted on other </w:t>
      </w:r>
      <w:proofErr w:type="spellStart"/>
      <w:r>
        <w:rPr>
          <w:rFonts w:eastAsia="MS Mincho"/>
          <w:lang w:eastAsia="ja-JP"/>
        </w:rPr>
        <w:t>subframes</w:t>
      </w:r>
      <w:proofErr w:type="spellEnd"/>
      <w:r>
        <w:rPr>
          <w:rFonts w:eastAsia="MS Mincho"/>
          <w:lang w:eastAsia="ja-JP"/>
        </w:rPr>
        <w:t xml:space="preserve"> in addition to the existing SIB1-NB transmission</w:t>
      </w:r>
    </w:p>
    <w:p w14:paraId="3751775C"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Use of physical signal/channel in agenda item 7.2.7.1.1 (if introduced)</w:t>
      </w:r>
    </w:p>
    <w:p w14:paraId="4B5CC84E"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 xml:space="preserve">FFS on </w:t>
      </w:r>
      <w:proofErr w:type="gramStart"/>
      <w:r>
        <w:rPr>
          <w:rFonts w:eastAsia="MS Mincho"/>
          <w:lang w:eastAsia="ja-JP"/>
        </w:rPr>
        <w:t>other</w:t>
      </w:r>
      <w:proofErr w:type="gramEnd"/>
      <w:r>
        <w:rPr>
          <w:rFonts w:eastAsia="MS Mincho"/>
          <w:lang w:eastAsia="ja-JP"/>
        </w:rPr>
        <w:t xml:space="preserve"> </w:t>
      </w:r>
      <w:proofErr w:type="spellStart"/>
      <w:r>
        <w:rPr>
          <w:rFonts w:eastAsia="MS Mincho"/>
          <w:lang w:eastAsia="ja-JP"/>
        </w:rPr>
        <w:t>SIBx</w:t>
      </w:r>
      <w:proofErr w:type="spellEnd"/>
      <w:r>
        <w:rPr>
          <w:rFonts w:eastAsia="MS Mincho"/>
          <w:lang w:eastAsia="ja-JP"/>
        </w:rPr>
        <w:t>-NB</w:t>
      </w:r>
    </w:p>
    <w:p w14:paraId="417D47E8"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Details of all solutions are FFS</w:t>
      </w:r>
    </w:p>
    <w:p w14:paraId="7E3C5483" w14:textId="77777777" w:rsidR="0027108A" w:rsidRDefault="0027108A" w:rsidP="0027108A">
      <w:pPr>
        <w:numPr>
          <w:ilvl w:val="1"/>
          <w:numId w:val="16"/>
        </w:numPr>
        <w:overflowPunct/>
        <w:autoSpaceDE/>
        <w:autoSpaceDN/>
        <w:adjustRightInd/>
        <w:spacing w:after="0"/>
        <w:textAlignment w:val="auto"/>
        <w:rPr>
          <w:rFonts w:eastAsia="MS Mincho"/>
          <w:lang w:eastAsia="ja-JP"/>
        </w:rPr>
      </w:pPr>
      <w:r>
        <w:rPr>
          <w:rFonts w:eastAsia="MS Mincho"/>
          <w:lang w:eastAsia="ja-JP"/>
        </w:rPr>
        <w:t>Solutions need to be backwards compatible and take care of impacts to Rel-13/Rel-14 networks</w:t>
      </w:r>
    </w:p>
    <w:p w14:paraId="4C12C25B" w14:textId="098474DC" w:rsidR="0027108A" w:rsidRDefault="0027108A" w:rsidP="0091131A">
      <w:pPr>
        <w:jc w:val="both"/>
      </w:pPr>
    </w:p>
    <w:p w14:paraId="3983C2F6" w14:textId="3CA446A8" w:rsidR="0027108A" w:rsidRDefault="0027108A" w:rsidP="0091131A">
      <w:pPr>
        <w:jc w:val="both"/>
      </w:pPr>
      <w:r>
        <w:t>In our view, completely redesigning or adding additional repetitions to the synchronization and broadcast channels may not be acceptable due to the following reasons:</w:t>
      </w:r>
    </w:p>
    <w:p w14:paraId="4BE53D27" w14:textId="010F68D8" w:rsidR="0027108A" w:rsidRDefault="0027108A" w:rsidP="0027108A">
      <w:pPr>
        <w:pStyle w:val="ListParagraph"/>
        <w:numPr>
          <w:ilvl w:val="0"/>
          <w:numId w:val="18"/>
        </w:numPr>
        <w:jc w:val="both"/>
        <w:rPr>
          <w:rFonts w:ascii="Times New Roman" w:hAnsi="Times New Roman"/>
          <w:sz w:val="20"/>
          <w:szCs w:val="20"/>
        </w:rPr>
      </w:pPr>
      <w:r w:rsidRPr="0027108A">
        <w:rPr>
          <w:rFonts w:ascii="Times New Roman" w:hAnsi="Times New Roman"/>
          <w:sz w:val="20"/>
          <w:szCs w:val="20"/>
        </w:rPr>
        <w:t>The proposed optimizations for NPSS/SSS/MIB rely on additional repetitions</w:t>
      </w:r>
      <w:r>
        <w:rPr>
          <w:rFonts w:ascii="Times New Roman" w:hAnsi="Times New Roman"/>
          <w:sz w:val="20"/>
          <w:szCs w:val="20"/>
        </w:rPr>
        <w:t>, which would increase the DL overhead of an NB-</w:t>
      </w:r>
      <w:proofErr w:type="spellStart"/>
      <w:r>
        <w:rPr>
          <w:rFonts w:ascii="Times New Roman" w:hAnsi="Times New Roman"/>
          <w:sz w:val="20"/>
          <w:szCs w:val="20"/>
        </w:rPr>
        <w:t>IoT</w:t>
      </w:r>
      <w:proofErr w:type="spellEnd"/>
      <w:r>
        <w:rPr>
          <w:rFonts w:ascii="Times New Roman" w:hAnsi="Times New Roman"/>
          <w:sz w:val="20"/>
          <w:szCs w:val="20"/>
        </w:rPr>
        <w:t xml:space="preserve"> anchor carrier (which is more than 25%).</w:t>
      </w:r>
    </w:p>
    <w:p w14:paraId="4735E15D" w14:textId="5B7A2DFD" w:rsidR="0027108A" w:rsidRDefault="0027108A" w:rsidP="0027108A">
      <w:pPr>
        <w:pStyle w:val="ListParagraph"/>
        <w:numPr>
          <w:ilvl w:val="0"/>
          <w:numId w:val="18"/>
        </w:numPr>
        <w:jc w:val="both"/>
        <w:rPr>
          <w:rFonts w:ascii="Times New Roman" w:hAnsi="Times New Roman"/>
          <w:sz w:val="20"/>
          <w:szCs w:val="20"/>
        </w:rPr>
      </w:pPr>
      <w:r>
        <w:rPr>
          <w:rFonts w:ascii="Times New Roman" w:hAnsi="Times New Roman"/>
          <w:sz w:val="20"/>
          <w:szCs w:val="20"/>
        </w:rPr>
        <w:t>It would increase the UE complexity, since a Rel-15 NB-</w:t>
      </w:r>
      <w:proofErr w:type="spellStart"/>
      <w:r>
        <w:rPr>
          <w:rFonts w:ascii="Times New Roman" w:hAnsi="Times New Roman"/>
          <w:sz w:val="20"/>
          <w:szCs w:val="20"/>
        </w:rPr>
        <w:t>IoT</w:t>
      </w:r>
      <w:proofErr w:type="spellEnd"/>
      <w:r>
        <w:rPr>
          <w:rFonts w:ascii="Times New Roman" w:hAnsi="Times New Roman"/>
          <w:sz w:val="20"/>
          <w:szCs w:val="20"/>
        </w:rPr>
        <w:t xml:space="preserve"> UE would have to hypothesize between the case of having “Rel-13 sync” or “Rel-15 sync”.</w:t>
      </w:r>
    </w:p>
    <w:p w14:paraId="7943377F" w14:textId="040B71D8" w:rsidR="0027108A" w:rsidRDefault="0027108A" w:rsidP="0027108A">
      <w:pPr>
        <w:pStyle w:val="ListParagraph"/>
        <w:numPr>
          <w:ilvl w:val="0"/>
          <w:numId w:val="18"/>
        </w:numPr>
        <w:jc w:val="both"/>
        <w:rPr>
          <w:rFonts w:ascii="Times New Roman" w:hAnsi="Times New Roman"/>
          <w:sz w:val="20"/>
          <w:szCs w:val="20"/>
        </w:rPr>
      </w:pPr>
      <w:r>
        <w:rPr>
          <w:rFonts w:ascii="Times New Roman" w:hAnsi="Times New Roman"/>
          <w:sz w:val="20"/>
          <w:szCs w:val="20"/>
        </w:rPr>
        <w:t>It would give the wrong impression that “Rel-13 design does not work”.</w:t>
      </w:r>
    </w:p>
    <w:p w14:paraId="6D40BFA8" w14:textId="27D60F21" w:rsidR="0027108A" w:rsidRDefault="0027108A" w:rsidP="0027108A">
      <w:pPr>
        <w:jc w:val="both"/>
      </w:pPr>
    </w:p>
    <w:p w14:paraId="6DF10136" w14:textId="6611DAAD" w:rsidR="0027108A" w:rsidRPr="0027108A" w:rsidRDefault="0027108A" w:rsidP="0027108A">
      <w:pPr>
        <w:jc w:val="both"/>
      </w:pPr>
      <w:r>
        <w:t xml:space="preserve">In view of this, our suggestion would be to </w:t>
      </w:r>
      <w:proofErr w:type="spellStart"/>
      <w:r>
        <w:t>downselect</w:t>
      </w:r>
      <w:proofErr w:type="spellEnd"/>
      <w:r>
        <w:t xml:space="preserve"> the possible optimizations to this problem, and remove enhancements to NPSS/NSSS/NPBCH from the list of possible candidates.</w:t>
      </w:r>
    </w:p>
    <w:p w14:paraId="3D873341" w14:textId="034F0067" w:rsidR="0027108A" w:rsidRDefault="0027108A" w:rsidP="0091131A">
      <w:pPr>
        <w:jc w:val="both"/>
        <w:rPr>
          <w:b/>
        </w:rPr>
      </w:pPr>
      <w:r w:rsidRPr="0027108A">
        <w:rPr>
          <w:b/>
          <w:u w:val="single"/>
        </w:rPr>
        <w:t>Proposal 1:</w:t>
      </w:r>
      <w:r>
        <w:rPr>
          <w:b/>
        </w:rPr>
        <w:t xml:space="preserve"> No additional repetitions to NPSS/NSSS/NPBCH are introduced in Rel-15, i.e., the following candidates are no longer considered in Rel-15:</w:t>
      </w:r>
    </w:p>
    <w:p w14:paraId="72CA23D9" w14:textId="77777777" w:rsidR="0027108A" w:rsidRPr="0027108A" w:rsidRDefault="0027108A" w:rsidP="0027108A">
      <w:pPr>
        <w:numPr>
          <w:ilvl w:val="1"/>
          <w:numId w:val="16"/>
        </w:numPr>
        <w:overflowPunct/>
        <w:autoSpaceDE/>
        <w:autoSpaceDN/>
        <w:adjustRightInd/>
        <w:spacing w:after="0"/>
        <w:textAlignment w:val="auto"/>
        <w:rPr>
          <w:rFonts w:eastAsia="MS Mincho"/>
          <w:b/>
          <w:lang w:eastAsia="ja-JP"/>
        </w:rPr>
      </w:pPr>
      <w:r w:rsidRPr="0027108A">
        <w:rPr>
          <w:rFonts w:eastAsia="MS Mincho"/>
          <w:b/>
          <w:lang w:eastAsia="ja-JP"/>
        </w:rPr>
        <w:t>Enhancement(s) to NPSS/NSSS</w:t>
      </w:r>
    </w:p>
    <w:p w14:paraId="4FCE22DC" w14:textId="6E84F26A" w:rsidR="0027108A" w:rsidRDefault="0027108A" w:rsidP="0027108A">
      <w:pPr>
        <w:numPr>
          <w:ilvl w:val="1"/>
          <w:numId w:val="16"/>
        </w:numPr>
        <w:overflowPunct/>
        <w:autoSpaceDE/>
        <w:autoSpaceDN/>
        <w:adjustRightInd/>
        <w:spacing w:after="0"/>
        <w:textAlignment w:val="auto"/>
        <w:rPr>
          <w:rFonts w:eastAsia="MS Mincho"/>
          <w:b/>
          <w:lang w:eastAsia="ja-JP"/>
        </w:rPr>
      </w:pPr>
      <w:r w:rsidRPr="0027108A">
        <w:rPr>
          <w:rFonts w:eastAsia="MS Mincho"/>
          <w:b/>
          <w:lang w:eastAsia="ja-JP"/>
        </w:rPr>
        <w:t xml:space="preserve">Enhancement(s) to MIB-NB </w:t>
      </w:r>
    </w:p>
    <w:p w14:paraId="5D34CC96" w14:textId="46FDA661" w:rsidR="0027108A" w:rsidRDefault="0027108A" w:rsidP="0091131A">
      <w:pPr>
        <w:jc w:val="both"/>
        <w:rPr>
          <w:b/>
        </w:rPr>
      </w:pPr>
      <w:r>
        <w:rPr>
          <w:b/>
        </w:rPr>
        <w:tab/>
      </w:r>
    </w:p>
    <w:p w14:paraId="175473CF" w14:textId="6B9346C8" w:rsidR="0027108A" w:rsidRDefault="0027108A" w:rsidP="0027108A">
      <w:pPr>
        <w:pStyle w:val="Heading1"/>
      </w:pPr>
      <w:r>
        <w:lastRenderedPageBreak/>
        <w:t>Proposed optimizations</w:t>
      </w:r>
    </w:p>
    <w:p w14:paraId="436B2854" w14:textId="738C77B0" w:rsidR="00FD16D9" w:rsidRDefault="00FD16D9" w:rsidP="0091131A">
      <w:pPr>
        <w:jc w:val="both"/>
      </w:pPr>
      <w:r>
        <w:t>As stated in the previous section, the optimizations introduced in Rel-15 should not include drastic changes in the physical channels and signals, but rather rely on modifications or optimizations of current procedures to reduce the acquisition time. In the following, we propose a series of optimizations aiming at reducing the overall acquisition time</w:t>
      </w:r>
    </w:p>
    <w:p w14:paraId="6ED886FB" w14:textId="77777777" w:rsidR="00FD16D9" w:rsidRDefault="00FD16D9" w:rsidP="0091131A">
      <w:pPr>
        <w:jc w:val="both"/>
      </w:pPr>
    </w:p>
    <w:p w14:paraId="6296913C" w14:textId="304E2A00" w:rsidR="00FD16D9" w:rsidRPr="00FD16D9" w:rsidRDefault="00FD16D9" w:rsidP="00FD16D9">
      <w:pPr>
        <w:pStyle w:val="Heading2"/>
        <w:rPr>
          <w:sz w:val="24"/>
        </w:rPr>
      </w:pPr>
      <w:r>
        <w:rPr>
          <w:sz w:val="24"/>
        </w:rPr>
        <w:t>Skipping SI decoding</w:t>
      </w:r>
    </w:p>
    <w:p w14:paraId="2FE19022" w14:textId="74831CEF" w:rsidR="00FD16D9" w:rsidRDefault="00FD16D9" w:rsidP="00FD16D9">
      <w:pPr>
        <w:rPr>
          <w:lang w:val="en-GB"/>
        </w:rPr>
      </w:pPr>
      <w:r>
        <w:rPr>
          <w:lang w:val="en-GB"/>
        </w:rPr>
        <w:t xml:space="preserve">One of the main delay contributions is reading the MIB/SIBs of the neighbour cell. In many cases, all the cells in a given area may have very similar SI configuration in terms of valid/invalid </w:t>
      </w:r>
      <w:proofErr w:type="spellStart"/>
      <w:r>
        <w:rPr>
          <w:lang w:val="en-GB"/>
        </w:rPr>
        <w:t>subframes</w:t>
      </w:r>
      <w:proofErr w:type="spellEnd"/>
      <w:r>
        <w:rPr>
          <w:lang w:val="en-GB"/>
        </w:rPr>
        <w:t>, paging configuration, etc. Additionally, in synchronized networks the SFN of the source and destination cell (in terms of idle mode mobility) may be the same, so the UE may also skip reading the MIB.</w:t>
      </w:r>
      <w:r w:rsidR="00E934E2">
        <w:rPr>
          <w:lang w:val="en-GB"/>
        </w:rPr>
        <w:t xml:space="preserve"> Since these optimizations are related to RAN2 procedures, we propose to send an LS to RAN2 with this observation.</w:t>
      </w:r>
    </w:p>
    <w:p w14:paraId="120FFDAD" w14:textId="67C1248B" w:rsidR="00FD16D9" w:rsidRDefault="00FD16D9" w:rsidP="00FD16D9">
      <w:pPr>
        <w:rPr>
          <w:b/>
          <w:lang w:val="en-GB"/>
        </w:rPr>
      </w:pPr>
      <w:r w:rsidRPr="00FD16D9">
        <w:rPr>
          <w:b/>
          <w:u w:val="single"/>
          <w:lang w:val="en-GB"/>
        </w:rPr>
        <w:t xml:space="preserve">Proposal </w:t>
      </w:r>
      <w:r>
        <w:rPr>
          <w:b/>
          <w:u w:val="single"/>
          <w:lang w:val="en-GB"/>
        </w:rPr>
        <w:t>2</w:t>
      </w:r>
      <w:r w:rsidRPr="00FD16D9">
        <w:rPr>
          <w:b/>
          <w:u w:val="single"/>
          <w:lang w:val="en-GB"/>
        </w:rPr>
        <w:t>:</w:t>
      </w:r>
      <w:r>
        <w:rPr>
          <w:b/>
          <w:lang w:val="en-GB"/>
        </w:rPr>
        <w:t xml:space="preserve"> From RAN1 perspective, it is beneficial if the UE can skip reading MIB/SIBs in scenarios in which the SI may be the same (or similar) across neighbour cells.</w:t>
      </w:r>
    </w:p>
    <w:p w14:paraId="77A3D1EB" w14:textId="0E11B59F" w:rsidR="00E934E2" w:rsidRDefault="00E934E2" w:rsidP="00FD16D9">
      <w:pPr>
        <w:rPr>
          <w:lang w:val="en-GB"/>
        </w:rPr>
      </w:pPr>
      <w:r w:rsidRPr="00E934E2">
        <w:rPr>
          <w:lang w:val="en-GB"/>
        </w:rPr>
        <w:t>To</w:t>
      </w:r>
      <w:r>
        <w:rPr>
          <w:lang w:val="en-GB"/>
        </w:rPr>
        <w:t xml:space="preserve"> implement this proposal, the source cell would need to indicate some information about the neighbour cells in SIB, in case they are the same. The following options should be considered:</w:t>
      </w:r>
    </w:p>
    <w:p w14:paraId="58715F50" w14:textId="79F0C0F5" w:rsidR="00E934E2" w:rsidRDefault="00E934E2" w:rsidP="00E934E2">
      <w:pPr>
        <w:pStyle w:val="ListParagraph"/>
        <w:numPr>
          <w:ilvl w:val="0"/>
          <w:numId w:val="18"/>
        </w:numPr>
        <w:rPr>
          <w:rFonts w:ascii="Times New Roman" w:hAnsi="Times New Roman"/>
          <w:sz w:val="20"/>
          <w:szCs w:val="20"/>
          <w:lang w:val="en-GB"/>
        </w:rPr>
      </w:pPr>
      <w:r w:rsidRPr="00E934E2">
        <w:rPr>
          <w:rFonts w:ascii="Times New Roman" w:hAnsi="Times New Roman"/>
          <w:sz w:val="20"/>
          <w:szCs w:val="20"/>
          <w:lang w:val="en-GB"/>
        </w:rPr>
        <w:t>Indicati</w:t>
      </w:r>
      <w:r>
        <w:rPr>
          <w:rFonts w:ascii="Times New Roman" w:hAnsi="Times New Roman"/>
          <w:sz w:val="20"/>
          <w:szCs w:val="20"/>
          <w:lang w:val="en-GB"/>
        </w:rPr>
        <w:t xml:space="preserve">on that source and destination cells are synchronized (similar to what was considered for handover optimizations in </w:t>
      </w:r>
      <w:proofErr w:type="spellStart"/>
      <w:r>
        <w:rPr>
          <w:rFonts w:ascii="Times New Roman" w:hAnsi="Times New Roman"/>
          <w:sz w:val="20"/>
          <w:szCs w:val="20"/>
          <w:lang w:val="en-GB"/>
        </w:rPr>
        <w:t>eMTC</w:t>
      </w:r>
      <w:proofErr w:type="spellEnd"/>
      <w:r>
        <w:rPr>
          <w:rFonts w:ascii="Times New Roman" w:hAnsi="Times New Roman"/>
          <w:sz w:val="20"/>
          <w:szCs w:val="20"/>
          <w:lang w:val="en-GB"/>
        </w:rPr>
        <w:t>) so that the UE can skip reading MIB.</w:t>
      </w:r>
    </w:p>
    <w:p w14:paraId="06AA0DCA" w14:textId="2A60A1E0" w:rsidR="00E934E2" w:rsidRPr="00E934E2" w:rsidRDefault="00E934E2" w:rsidP="00E934E2">
      <w:pPr>
        <w:pStyle w:val="ListParagraph"/>
        <w:numPr>
          <w:ilvl w:val="0"/>
          <w:numId w:val="18"/>
        </w:numPr>
        <w:rPr>
          <w:rFonts w:ascii="Times New Roman" w:hAnsi="Times New Roman"/>
          <w:sz w:val="20"/>
          <w:szCs w:val="20"/>
          <w:lang w:val="en-GB"/>
        </w:rPr>
      </w:pPr>
      <w:r>
        <w:rPr>
          <w:rFonts w:ascii="Times New Roman" w:hAnsi="Times New Roman"/>
          <w:sz w:val="20"/>
          <w:szCs w:val="20"/>
          <w:lang w:val="en-GB"/>
        </w:rPr>
        <w:t>Delta-configuration between source and destination cell (can be a separate SIB)</w:t>
      </w:r>
    </w:p>
    <w:p w14:paraId="5A7B368D" w14:textId="712547C7" w:rsidR="00E934E2" w:rsidRDefault="00E934E2" w:rsidP="00FD16D9">
      <w:pPr>
        <w:rPr>
          <w:b/>
          <w:lang w:val="en-GB"/>
        </w:rPr>
      </w:pPr>
    </w:p>
    <w:p w14:paraId="3E3FA151" w14:textId="147E79F2" w:rsidR="00E934E2" w:rsidRDefault="00E934E2" w:rsidP="00FD16D9">
      <w:pPr>
        <w:rPr>
          <w:b/>
          <w:lang w:val="en-GB"/>
        </w:rPr>
      </w:pPr>
      <w:r w:rsidRPr="00E934E2">
        <w:rPr>
          <w:b/>
          <w:u w:val="single"/>
          <w:lang w:val="en-GB"/>
        </w:rPr>
        <w:t>Proposal 3:</w:t>
      </w:r>
      <w:r>
        <w:rPr>
          <w:b/>
          <w:u w:val="single"/>
          <w:lang w:val="en-GB"/>
        </w:rPr>
        <w:t xml:space="preserve"> </w:t>
      </w:r>
      <w:r w:rsidRPr="00E934E2">
        <w:rPr>
          <w:b/>
          <w:lang w:val="en-GB"/>
        </w:rPr>
        <w:t xml:space="preserve">From RAN1 perspective, it is beneficial if </w:t>
      </w:r>
      <w:r>
        <w:rPr>
          <w:b/>
          <w:lang w:val="en-GB"/>
        </w:rPr>
        <w:t>the source cell can indicate the following to reduce the delay when reselecting to a neighbour cell:</w:t>
      </w:r>
    </w:p>
    <w:p w14:paraId="2D090FD1" w14:textId="3E829DA6" w:rsidR="00E934E2" w:rsidRDefault="00E934E2" w:rsidP="00E934E2">
      <w:pPr>
        <w:pStyle w:val="ListParagraph"/>
        <w:numPr>
          <w:ilvl w:val="0"/>
          <w:numId w:val="18"/>
        </w:numPr>
        <w:rPr>
          <w:rFonts w:ascii="Times New Roman" w:hAnsi="Times New Roman"/>
          <w:b/>
          <w:sz w:val="20"/>
          <w:szCs w:val="20"/>
          <w:lang w:val="en-GB"/>
        </w:rPr>
      </w:pPr>
      <w:r w:rsidRPr="00E934E2">
        <w:rPr>
          <w:rFonts w:ascii="Times New Roman" w:hAnsi="Times New Roman"/>
          <w:b/>
          <w:sz w:val="20"/>
          <w:szCs w:val="20"/>
          <w:lang w:val="en-GB"/>
        </w:rPr>
        <w:t>Indication of synchronized deployment</w:t>
      </w:r>
      <w:r>
        <w:rPr>
          <w:rFonts w:ascii="Times New Roman" w:hAnsi="Times New Roman"/>
          <w:b/>
          <w:sz w:val="20"/>
          <w:szCs w:val="20"/>
          <w:lang w:val="en-GB"/>
        </w:rPr>
        <w:t xml:space="preserve"> (so that MIB can be skipped)</w:t>
      </w:r>
    </w:p>
    <w:p w14:paraId="33E6C697" w14:textId="480A0DD5" w:rsidR="00E934E2" w:rsidRPr="00E934E2" w:rsidRDefault="00E934E2" w:rsidP="00E934E2">
      <w:pPr>
        <w:pStyle w:val="ListParagraph"/>
        <w:numPr>
          <w:ilvl w:val="0"/>
          <w:numId w:val="18"/>
        </w:numPr>
        <w:rPr>
          <w:rFonts w:ascii="Times New Roman" w:hAnsi="Times New Roman"/>
          <w:b/>
          <w:sz w:val="20"/>
          <w:szCs w:val="20"/>
          <w:lang w:val="en-GB"/>
        </w:rPr>
      </w:pPr>
      <w:r>
        <w:rPr>
          <w:rFonts w:ascii="Times New Roman" w:hAnsi="Times New Roman"/>
          <w:b/>
          <w:sz w:val="20"/>
          <w:szCs w:val="20"/>
          <w:lang w:val="en-GB"/>
        </w:rPr>
        <w:t xml:space="preserve">Delta-configuration between source and destination cell </w:t>
      </w:r>
    </w:p>
    <w:p w14:paraId="4DEE256F" w14:textId="343181AF" w:rsidR="00E934E2" w:rsidRDefault="00E934E2" w:rsidP="00E934E2">
      <w:pPr>
        <w:rPr>
          <w:b/>
          <w:lang w:val="en-GB"/>
        </w:rPr>
      </w:pPr>
    </w:p>
    <w:p w14:paraId="49F0B15B" w14:textId="457EE227" w:rsidR="00E934E2" w:rsidRDefault="00E934E2" w:rsidP="00E934E2">
      <w:pPr>
        <w:rPr>
          <w:lang w:val="en-GB"/>
        </w:rPr>
      </w:pPr>
      <w:r w:rsidRPr="00E934E2">
        <w:rPr>
          <w:lang w:val="en-GB"/>
        </w:rPr>
        <w:t>Since these</w:t>
      </w:r>
      <w:r>
        <w:rPr>
          <w:lang w:val="en-GB"/>
        </w:rPr>
        <w:t xml:space="preserve"> optimizations lie within the RAN2 expertise, we propose to send an LS to RAN2 so that they can further consider these optimizations.</w:t>
      </w:r>
    </w:p>
    <w:p w14:paraId="4F1063FF" w14:textId="54E994A2" w:rsidR="00E934E2" w:rsidRPr="00E934E2" w:rsidRDefault="00E934E2" w:rsidP="00E934E2">
      <w:pPr>
        <w:rPr>
          <w:b/>
          <w:lang w:val="en-GB"/>
        </w:rPr>
      </w:pPr>
      <w:r w:rsidRPr="00E934E2">
        <w:rPr>
          <w:b/>
          <w:u w:val="single"/>
          <w:lang w:val="en-GB"/>
        </w:rPr>
        <w:t>Proposal 4:</w:t>
      </w:r>
      <w:r>
        <w:rPr>
          <w:b/>
          <w:lang w:val="en-GB"/>
        </w:rPr>
        <w:t xml:space="preserve"> Send an LS to RAN2 with Proposals 2/3.</w:t>
      </w:r>
    </w:p>
    <w:p w14:paraId="46A96F23" w14:textId="1D748578" w:rsidR="00FD16D9" w:rsidRDefault="00FD16D9" w:rsidP="00FD16D9">
      <w:pPr>
        <w:rPr>
          <w:lang w:val="en-GB"/>
        </w:rPr>
      </w:pPr>
    </w:p>
    <w:p w14:paraId="510717F1" w14:textId="27BD8CD8" w:rsidR="00FD16D9" w:rsidRDefault="00FD16D9" w:rsidP="00FD16D9">
      <w:pPr>
        <w:pStyle w:val="Heading2"/>
        <w:rPr>
          <w:sz w:val="24"/>
        </w:rPr>
      </w:pPr>
      <w:r>
        <w:rPr>
          <w:sz w:val="24"/>
        </w:rPr>
        <w:t>Acquisition across different SIB-TTIs</w:t>
      </w:r>
    </w:p>
    <w:p w14:paraId="54227725" w14:textId="10FB2300" w:rsidR="00E934E2" w:rsidRPr="00E934E2" w:rsidRDefault="00E934E2" w:rsidP="00FD16D9">
      <w:pPr>
        <w:rPr>
          <w:lang w:val="en-GB"/>
        </w:rPr>
      </w:pPr>
      <w:r w:rsidRPr="00E934E2">
        <w:rPr>
          <w:lang w:val="en-GB"/>
        </w:rPr>
        <w:t>One o</w:t>
      </w:r>
      <w:r>
        <w:rPr>
          <w:lang w:val="en-GB"/>
        </w:rPr>
        <w:t>f the candidates considered in the previous meeting is to combine SIB1-NB beyond the modification boundary. In our view, this is an implementation option that the UE can already perform today (e.g. combine LLRs across multiple SIB1 modification periods assuming that the payload didn’t change).</w:t>
      </w:r>
    </w:p>
    <w:p w14:paraId="2DD0F284" w14:textId="4F9C83A0" w:rsidR="00FD16D9" w:rsidRDefault="00E934E2" w:rsidP="00FD16D9">
      <w:pPr>
        <w:rPr>
          <w:b/>
          <w:lang w:val="en-GB"/>
        </w:rPr>
      </w:pPr>
      <w:r>
        <w:rPr>
          <w:b/>
          <w:u w:val="single"/>
          <w:lang w:val="en-GB"/>
        </w:rPr>
        <w:t>Proposal 5</w:t>
      </w:r>
      <w:r w:rsidRPr="00E934E2">
        <w:rPr>
          <w:b/>
          <w:u w:val="single"/>
          <w:lang w:val="en-GB"/>
        </w:rPr>
        <w:t>:</w:t>
      </w:r>
      <w:r>
        <w:rPr>
          <w:b/>
          <w:lang w:val="en-GB"/>
        </w:rPr>
        <w:t xml:space="preserve"> RAN1 does not further consider SIB1-NB combining beyond the modification boundary, since this is already supported from Rel-13 as a UE implementation option.</w:t>
      </w:r>
    </w:p>
    <w:p w14:paraId="1A30FD73" w14:textId="77777777" w:rsidR="00FD16D9" w:rsidRPr="00FD16D9" w:rsidRDefault="00FD16D9" w:rsidP="00FD16D9">
      <w:pPr>
        <w:rPr>
          <w:lang w:val="en-GB"/>
        </w:rPr>
      </w:pPr>
    </w:p>
    <w:p w14:paraId="43B7F891" w14:textId="47BDB371" w:rsidR="004503F9" w:rsidRDefault="00E934E2" w:rsidP="004503F9">
      <w:pPr>
        <w:pStyle w:val="Heading1"/>
        <w:rPr>
          <w:lang w:eastAsia="zh-CN"/>
        </w:rPr>
      </w:pPr>
      <w:r>
        <w:rPr>
          <w:lang w:eastAsia="zh-CN"/>
        </w:rPr>
        <w:t>Summary of proposals</w:t>
      </w:r>
    </w:p>
    <w:p w14:paraId="54DDB193" w14:textId="77777777" w:rsidR="00E934E2" w:rsidRDefault="00E934E2" w:rsidP="00E934E2">
      <w:pPr>
        <w:jc w:val="both"/>
        <w:rPr>
          <w:b/>
        </w:rPr>
      </w:pPr>
      <w:r w:rsidRPr="0027108A">
        <w:rPr>
          <w:b/>
          <w:u w:val="single"/>
        </w:rPr>
        <w:t>Proposal 1:</w:t>
      </w:r>
      <w:r>
        <w:rPr>
          <w:b/>
        </w:rPr>
        <w:t xml:space="preserve"> No additional repetitions to NPSS/NSSS/NPBCH are introduced in Rel-15, i.e., the following candidates are no longer considered in Rel-15:</w:t>
      </w:r>
    </w:p>
    <w:p w14:paraId="57F2277F" w14:textId="77777777" w:rsidR="00E934E2" w:rsidRPr="0027108A" w:rsidRDefault="00E934E2" w:rsidP="00E934E2">
      <w:pPr>
        <w:numPr>
          <w:ilvl w:val="1"/>
          <w:numId w:val="16"/>
        </w:numPr>
        <w:overflowPunct/>
        <w:autoSpaceDE/>
        <w:autoSpaceDN/>
        <w:adjustRightInd/>
        <w:spacing w:after="0"/>
        <w:textAlignment w:val="auto"/>
        <w:rPr>
          <w:rFonts w:eastAsia="MS Mincho"/>
          <w:b/>
          <w:lang w:eastAsia="ja-JP"/>
        </w:rPr>
      </w:pPr>
      <w:r w:rsidRPr="0027108A">
        <w:rPr>
          <w:rFonts w:eastAsia="MS Mincho"/>
          <w:b/>
          <w:lang w:eastAsia="ja-JP"/>
        </w:rPr>
        <w:t>Enhancement(s) to NPSS/NSSS</w:t>
      </w:r>
    </w:p>
    <w:p w14:paraId="7FE21DD5" w14:textId="77777777" w:rsidR="00E934E2" w:rsidRDefault="00E934E2" w:rsidP="00E934E2">
      <w:pPr>
        <w:numPr>
          <w:ilvl w:val="1"/>
          <w:numId w:val="16"/>
        </w:numPr>
        <w:overflowPunct/>
        <w:autoSpaceDE/>
        <w:autoSpaceDN/>
        <w:adjustRightInd/>
        <w:spacing w:after="0"/>
        <w:textAlignment w:val="auto"/>
        <w:rPr>
          <w:rFonts w:eastAsia="MS Mincho"/>
          <w:b/>
          <w:lang w:eastAsia="ja-JP"/>
        </w:rPr>
      </w:pPr>
      <w:r w:rsidRPr="0027108A">
        <w:rPr>
          <w:rFonts w:eastAsia="MS Mincho"/>
          <w:b/>
          <w:lang w:eastAsia="ja-JP"/>
        </w:rPr>
        <w:t xml:space="preserve">Enhancement(s) to MIB-NB </w:t>
      </w:r>
    </w:p>
    <w:p w14:paraId="6607A45C" w14:textId="77777777" w:rsidR="00E934E2" w:rsidRDefault="00E934E2" w:rsidP="00E934E2">
      <w:pPr>
        <w:rPr>
          <w:b/>
          <w:lang w:val="en-GB"/>
        </w:rPr>
      </w:pPr>
      <w:r w:rsidRPr="00FD16D9">
        <w:rPr>
          <w:b/>
          <w:u w:val="single"/>
          <w:lang w:val="en-GB"/>
        </w:rPr>
        <w:lastRenderedPageBreak/>
        <w:t xml:space="preserve">Proposal </w:t>
      </w:r>
      <w:r>
        <w:rPr>
          <w:b/>
          <w:u w:val="single"/>
          <w:lang w:val="en-GB"/>
        </w:rPr>
        <w:t>2</w:t>
      </w:r>
      <w:r w:rsidRPr="00FD16D9">
        <w:rPr>
          <w:b/>
          <w:u w:val="single"/>
          <w:lang w:val="en-GB"/>
        </w:rPr>
        <w:t>:</w:t>
      </w:r>
      <w:r>
        <w:rPr>
          <w:b/>
          <w:lang w:val="en-GB"/>
        </w:rPr>
        <w:t xml:space="preserve"> From RAN1 perspective, it is beneficial if the UE can skip reading MIB/SIBs in scenarios in which the SI may be the same (or similar) across neighbour cells.</w:t>
      </w:r>
    </w:p>
    <w:p w14:paraId="3C87A422" w14:textId="77777777" w:rsidR="00E934E2" w:rsidRDefault="00E934E2" w:rsidP="00E934E2">
      <w:pPr>
        <w:rPr>
          <w:b/>
          <w:u w:val="single"/>
          <w:lang w:val="en-GB"/>
        </w:rPr>
      </w:pPr>
    </w:p>
    <w:p w14:paraId="39103629" w14:textId="50A74825" w:rsidR="00E934E2" w:rsidRDefault="00E934E2" w:rsidP="00E934E2">
      <w:pPr>
        <w:rPr>
          <w:b/>
          <w:lang w:val="en-GB"/>
        </w:rPr>
      </w:pPr>
      <w:r w:rsidRPr="00E934E2">
        <w:rPr>
          <w:b/>
          <w:u w:val="single"/>
          <w:lang w:val="en-GB"/>
        </w:rPr>
        <w:t>Proposal 3:</w:t>
      </w:r>
      <w:r>
        <w:rPr>
          <w:b/>
          <w:u w:val="single"/>
          <w:lang w:val="en-GB"/>
        </w:rPr>
        <w:t xml:space="preserve"> </w:t>
      </w:r>
      <w:r w:rsidRPr="00E934E2">
        <w:rPr>
          <w:b/>
          <w:lang w:val="en-GB"/>
        </w:rPr>
        <w:t xml:space="preserve">From RAN1 perspective, it is beneficial if </w:t>
      </w:r>
      <w:r>
        <w:rPr>
          <w:b/>
          <w:lang w:val="en-GB"/>
        </w:rPr>
        <w:t>the source cell can indicate the following to reduce the delay when reselecting to a neighbour cell:</w:t>
      </w:r>
    </w:p>
    <w:p w14:paraId="3DFA84C2" w14:textId="77777777" w:rsidR="00E934E2" w:rsidRDefault="00E934E2" w:rsidP="00E934E2">
      <w:pPr>
        <w:pStyle w:val="ListParagraph"/>
        <w:numPr>
          <w:ilvl w:val="0"/>
          <w:numId w:val="18"/>
        </w:numPr>
        <w:rPr>
          <w:rFonts w:ascii="Times New Roman" w:hAnsi="Times New Roman"/>
          <w:b/>
          <w:sz w:val="20"/>
          <w:szCs w:val="20"/>
          <w:lang w:val="en-GB"/>
        </w:rPr>
      </w:pPr>
      <w:r w:rsidRPr="00E934E2">
        <w:rPr>
          <w:rFonts w:ascii="Times New Roman" w:hAnsi="Times New Roman"/>
          <w:b/>
          <w:sz w:val="20"/>
          <w:szCs w:val="20"/>
          <w:lang w:val="en-GB"/>
        </w:rPr>
        <w:t>Indication of synchronized deployment</w:t>
      </w:r>
      <w:r>
        <w:rPr>
          <w:rFonts w:ascii="Times New Roman" w:hAnsi="Times New Roman"/>
          <w:b/>
          <w:sz w:val="20"/>
          <w:szCs w:val="20"/>
          <w:lang w:val="en-GB"/>
        </w:rPr>
        <w:t xml:space="preserve"> (so that MIB can be skipped)</w:t>
      </w:r>
    </w:p>
    <w:p w14:paraId="4EC3D35A" w14:textId="77777777" w:rsidR="00E934E2" w:rsidRPr="00E934E2" w:rsidRDefault="00E934E2" w:rsidP="00E934E2">
      <w:pPr>
        <w:pStyle w:val="ListParagraph"/>
        <w:numPr>
          <w:ilvl w:val="0"/>
          <w:numId w:val="18"/>
        </w:numPr>
        <w:rPr>
          <w:rFonts w:ascii="Times New Roman" w:hAnsi="Times New Roman"/>
          <w:b/>
          <w:sz w:val="20"/>
          <w:szCs w:val="20"/>
          <w:lang w:val="en-GB"/>
        </w:rPr>
      </w:pPr>
      <w:r>
        <w:rPr>
          <w:rFonts w:ascii="Times New Roman" w:hAnsi="Times New Roman"/>
          <w:b/>
          <w:sz w:val="20"/>
          <w:szCs w:val="20"/>
          <w:lang w:val="en-GB"/>
        </w:rPr>
        <w:t xml:space="preserve">Delta-configuration between source and destination cell </w:t>
      </w:r>
    </w:p>
    <w:p w14:paraId="1D62EBA9" w14:textId="77777777" w:rsidR="00E934E2" w:rsidRDefault="00E934E2" w:rsidP="006C4E17">
      <w:pPr>
        <w:rPr>
          <w:lang w:val="en-GB" w:eastAsia="ko-KR"/>
        </w:rPr>
      </w:pPr>
    </w:p>
    <w:p w14:paraId="76A3C757" w14:textId="4E41FAE6" w:rsidR="00E934E2" w:rsidRDefault="00E934E2" w:rsidP="00E934E2">
      <w:pPr>
        <w:rPr>
          <w:b/>
          <w:lang w:val="en-GB"/>
        </w:rPr>
      </w:pPr>
      <w:r w:rsidRPr="00E934E2">
        <w:rPr>
          <w:b/>
          <w:u w:val="single"/>
          <w:lang w:val="en-GB"/>
        </w:rPr>
        <w:t>Proposal 4:</w:t>
      </w:r>
      <w:r>
        <w:rPr>
          <w:b/>
          <w:lang w:val="en-GB"/>
        </w:rPr>
        <w:t xml:space="preserve"> Send an LS to RAN2 with Proposals 2/3.</w:t>
      </w:r>
    </w:p>
    <w:p w14:paraId="544328B6" w14:textId="0465ED56" w:rsidR="00E934E2" w:rsidRDefault="00E934E2" w:rsidP="00E934E2">
      <w:pPr>
        <w:rPr>
          <w:b/>
          <w:lang w:val="en-GB"/>
        </w:rPr>
      </w:pPr>
    </w:p>
    <w:p w14:paraId="2D780DDD" w14:textId="77777777" w:rsidR="00E934E2" w:rsidRDefault="00E934E2" w:rsidP="00E934E2">
      <w:pPr>
        <w:rPr>
          <w:b/>
          <w:lang w:val="en-GB"/>
        </w:rPr>
      </w:pPr>
      <w:r>
        <w:rPr>
          <w:b/>
          <w:u w:val="single"/>
          <w:lang w:val="en-GB"/>
        </w:rPr>
        <w:t>Proposal 5</w:t>
      </w:r>
      <w:r w:rsidRPr="00E934E2">
        <w:rPr>
          <w:b/>
          <w:u w:val="single"/>
          <w:lang w:val="en-GB"/>
        </w:rPr>
        <w:t>:</w:t>
      </w:r>
      <w:r>
        <w:rPr>
          <w:b/>
          <w:lang w:val="en-GB"/>
        </w:rPr>
        <w:t xml:space="preserve"> RAN1 does not further consider SIB1-NB combining beyond the modification boundary, since this is already supported from Rel-13 as a UE implementation option.</w:t>
      </w:r>
    </w:p>
    <w:p w14:paraId="554EA261" w14:textId="77777777" w:rsidR="00E934E2" w:rsidRPr="00E934E2" w:rsidRDefault="00E934E2" w:rsidP="00E934E2">
      <w:pPr>
        <w:rPr>
          <w:b/>
          <w:lang w:val="en-GB"/>
        </w:rPr>
      </w:pPr>
    </w:p>
    <w:p w14:paraId="04E871A6" w14:textId="583A5D4D" w:rsidR="00E934E2" w:rsidRDefault="00E934E2" w:rsidP="006C4E17">
      <w:pPr>
        <w:rPr>
          <w:lang w:val="en-GB" w:eastAsia="ko-KR"/>
        </w:rPr>
      </w:pPr>
    </w:p>
    <w:p w14:paraId="2685C30F" w14:textId="576A6B98" w:rsidR="00E934E2" w:rsidRPr="00F45534" w:rsidRDefault="00E934E2" w:rsidP="00E934E2">
      <w:pPr>
        <w:pStyle w:val="Heading1"/>
        <w:rPr>
          <w:rFonts w:cs="Arial"/>
          <w:lang w:val="en-US"/>
        </w:rPr>
      </w:pPr>
      <w:r w:rsidRPr="00F45534">
        <w:rPr>
          <w:rFonts w:cs="Arial"/>
          <w:lang w:val="en-US"/>
        </w:rPr>
        <w:t>Reference</w:t>
      </w:r>
      <w:r>
        <w:rPr>
          <w:rFonts w:cs="Arial"/>
          <w:lang w:val="en-US"/>
        </w:rPr>
        <w:t>s</w:t>
      </w:r>
    </w:p>
    <w:p w14:paraId="7498D71C" w14:textId="77777777" w:rsidR="00E934E2" w:rsidRDefault="00E934E2" w:rsidP="00E934E2">
      <w:r w:rsidRPr="009D2FC3">
        <w:t>[1] RP-170852 “New WID on Further NB-</w:t>
      </w:r>
      <w:proofErr w:type="spellStart"/>
      <w:r w:rsidRPr="009D2FC3">
        <w:t>IoT</w:t>
      </w:r>
      <w:proofErr w:type="spellEnd"/>
      <w:r w:rsidRPr="009D2FC3">
        <w:t xml:space="preserve"> enhancements”, Huawei, HiSilicon</w:t>
      </w:r>
    </w:p>
    <w:p w14:paraId="521A3EDE" w14:textId="77777777" w:rsidR="00E934E2" w:rsidRPr="00E934E2" w:rsidRDefault="00E934E2" w:rsidP="006C4E17">
      <w:pPr>
        <w:rPr>
          <w:lang w:eastAsia="ko-KR"/>
        </w:rPr>
      </w:pPr>
    </w:p>
    <w:sectPr w:rsidR="00E934E2" w:rsidRPr="00E934E2"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1662B3" w14:textId="77777777" w:rsidR="00ED151C" w:rsidRDefault="00ED151C">
      <w:r>
        <w:separator/>
      </w:r>
    </w:p>
  </w:endnote>
  <w:endnote w:type="continuationSeparator" w:id="0">
    <w:p w14:paraId="65A5B704" w14:textId="77777777" w:rsidR="00ED151C" w:rsidRDefault="00ED151C">
      <w:r>
        <w:continuationSeparator/>
      </w:r>
    </w:p>
  </w:endnote>
  <w:endnote w:type="continuationNotice" w:id="1">
    <w:p w14:paraId="1ED43E74" w14:textId="77777777" w:rsidR="00ED151C" w:rsidRDefault="00ED15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53AF1A0B"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E5983">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598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262B5" w14:textId="77777777" w:rsidR="00ED151C" w:rsidRDefault="00ED151C">
      <w:r>
        <w:separator/>
      </w:r>
    </w:p>
  </w:footnote>
  <w:footnote w:type="continuationSeparator" w:id="0">
    <w:p w14:paraId="5490FCAC" w14:textId="77777777" w:rsidR="00ED151C" w:rsidRDefault="00ED151C">
      <w:r>
        <w:continuationSeparator/>
      </w:r>
    </w:p>
  </w:footnote>
  <w:footnote w:type="continuationNotice" w:id="1">
    <w:p w14:paraId="2A809E45" w14:textId="77777777" w:rsidR="00ED151C" w:rsidRDefault="00ED15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9pt;height:15.9pt" o:bullet="t">
        <v:imagedata r:id="rId1" o:title="artD0D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F4F6A"/>
    <w:multiLevelType w:val="hybridMultilevel"/>
    <w:tmpl w:val="940AAA00"/>
    <w:lvl w:ilvl="0" w:tplc="4AEA4030">
      <w:start w:val="1"/>
      <w:numFmt w:val="bullet"/>
      <w:lvlText w:val="•"/>
      <w:lvlJc w:val="left"/>
      <w:pPr>
        <w:tabs>
          <w:tab w:val="num" w:pos="720"/>
        </w:tabs>
        <w:ind w:left="720" w:hanging="360"/>
      </w:pPr>
      <w:rPr>
        <w:rFonts w:ascii="Arial" w:hAnsi="Arial" w:hint="default"/>
      </w:rPr>
    </w:lvl>
    <w:lvl w:ilvl="1" w:tplc="EDFC5A9A">
      <w:start w:val="68"/>
      <w:numFmt w:val="bullet"/>
      <w:lvlText w:val="•"/>
      <w:lvlJc w:val="left"/>
      <w:pPr>
        <w:tabs>
          <w:tab w:val="num" w:pos="1440"/>
        </w:tabs>
        <w:ind w:left="1440" w:hanging="360"/>
      </w:pPr>
      <w:rPr>
        <w:rFonts w:ascii="Arial" w:hAnsi="Arial" w:hint="default"/>
      </w:rPr>
    </w:lvl>
    <w:lvl w:ilvl="2" w:tplc="3AE85B90" w:tentative="1">
      <w:start w:val="1"/>
      <w:numFmt w:val="bullet"/>
      <w:lvlText w:val="•"/>
      <w:lvlJc w:val="left"/>
      <w:pPr>
        <w:tabs>
          <w:tab w:val="num" w:pos="2160"/>
        </w:tabs>
        <w:ind w:left="2160" w:hanging="360"/>
      </w:pPr>
      <w:rPr>
        <w:rFonts w:ascii="Arial" w:hAnsi="Arial" w:hint="default"/>
      </w:rPr>
    </w:lvl>
    <w:lvl w:ilvl="3" w:tplc="37425B36" w:tentative="1">
      <w:start w:val="1"/>
      <w:numFmt w:val="bullet"/>
      <w:lvlText w:val="•"/>
      <w:lvlJc w:val="left"/>
      <w:pPr>
        <w:tabs>
          <w:tab w:val="num" w:pos="2880"/>
        </w:tabs>
        <w:ind w:left="2880" w:hanging="360"/>
      </w:pPr>
      <w:rPr>
        <w:rFonts w:ascii="Arial" w:hAnsi="Arial" w:hint="default"/>
      </w:rPr>
    </w:lvl>
    <w:lvl w:ilvl="4" w:tplc="A02E847A" w:tentative="1">
      <w:start w:val="1"/>
      <w:numFmt w:val="bullet"/>
      <w:lvlText w:val="•"/>
      <w:lvlJc w:val="left"/>
      <w:pPr>
        <w:tabs>
          <w:tab w:val="num" w:pos="3600"/>
        </w:tabs>
        <w:ind w:left="3600" w:hanging="360"/>
      </w:pPr>
      <w:rPr>
        <w:rFonts w:ascii="Arial" w:hAnsi="Arial" w:hint="default"/>
      </w:rPr>
    </w:lvl>
    <w:lvl w:ilvl="5" w:tplc="D14002D4" w:tentative="1">
      <w:start w:val="1"/>
      <w:numFmt w:val="bullet"/>
      <w:lvlText w:val="•"/>
      <w:lvlJc w:val="left"/>
      <w:pPr>
        <w:tabs>
          <w:tab w:val="num" w:pos="4320"/>
        </w:tabs>
        <w:ind w:left="4320" w:hanging="360"/>
      </w:pPr>
      <w:rPr>
        <w:rFonts w:ascii="Arial" w:hAnsi="Arial" w:hint="default"/>
      </w:rPr>
    </w:lvl>
    <w:lvl w:ilvl="6" w:tplc="F66AF9D0" w:tentative="1">
      <w:start w:val="1"/>
      <w:numFmt w:val="bullet"/>
      <w:lvlText w:val="•"/>
      <w:lvlJc w:val="left"/>
      <w:pPr>
        <w:tabs>
          <w:tab w:val="num" w:pos="5040"/>
        </w:tabs>
        <w:ind w:left="5040" w:hanging="360"/>
      </w:pPr>
      <w:rPr>
        <w:rFonts w:ascii="Arial" w:hAnsi="Arial" w:hint="default"/>
      </w:rPr>
    </w:lvl>
    <w:lvl w:ilvl="7" w:tplc="4CFE2F88" w:tentative="1">
      <w:start w:val="1"/>
      <w:numFmt w:val="bullet"/>
      <w:lvlText w:val="•"/>
      <w:lvlJc w:val="left"/>
      <w:pPr>
        <w:tabs>
          <w:tab w:val="num" w:pos="5760"/>
        </w:tabs>
        <w:ind w:left="5760" w:hanging="360"/>
      </w:pPr>
      <w:rPr>
        <w:rFonts w:ascii="Arial" w:hAnsi="Arial" w:hint="default"/>
      </w:rPr>
    </w:lvl>
    <w:lvl w:ilvl="8" w:tplc="BA084E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D44014E"/>
    <w:multiLevelType w:val="hybridMultilevel"/>
    <w:tmpl w:val="674EA812"/>
    <w:lvl w:ilvl="0" w:tplc="652010BA">
      <w:start w:val="1"/>
      <w:numFmt w:val="bullet"/>
      <w:lvlText w:val="•"/>
      <w:lvlJc w:val="left"/>
      <w:pPr>
        <w:tabs>
          <w:tab w:val="num" w:pos="720"/>
        </w:tabs>
        <w:ind w:left="720" w:hanging="360"/>
      </w:pPr>
      <w:rPr>
        <w:rFonts w:ascii="Arial" w:hAnsi="Arial" w:hint="default"/>
      </w:rPr>
    </w:lvl>
    <w:lvl w:ilvl="1" w:tplc="135AC2CE">
      <w:start w:val="68"/>
      <w:numFmt w:val="bullet"/>
      <w:lvlText w:val="–"/>
      <w:lvlJc w:val="left"/>
      <w:pPr>
        <w:tabs>
          <w:tab w:val="num" w:pos="1440"/>
        </w:tabs>
        <w:ind w:left="1440" w:hanging="360"/>
      </w:pPr>
      <w:rPr>
        <w:rFonts w:ascii="Arial" w:hAnsi="Arial" w:hint="default"/>
      </w:rPr>
    </w:lvl>
    <w:lvl w:ilvl="2" w:tplc="DF287F44" w:tentative="1">
      <w:start w:val="1"/>
      <w:numFmt w:val="bullet"/>
      <w:lvlText w:val="•"/>
      <w:lvlJc w:val="left"/>
      <w:pPr>
        <w:tabs>
          <w:tab w:val="num" w:pos="2160"/>
        </w:tabs>
        <w:ind w:left="2160" w:hanging="360"/>
      </w:pPr>
      <w:rPr>
        <w:rFonts w:ascii="Arial" w:hAnsi="Arial" w:hint="default"/>
      </w:rPr>
    </w:lvl>
    <w:lvl w:ilvl="3" w:tplc="FB741652" w:tentative="1">
      <w:start w:val="1"/>
      <w:numFmt w:val="bullet"/>
      <w:lvlText w:val="•"/>
      <w:lvlJc w:val="left"/>
      <w:pPr>
        <w:tabs>
          <w:tab w:val="num" w:pos="2880"/>
        </w:tabs>
        <w:ind w:left="2880" w:hanging="360"/>
      </w:pPr>
      <w:rPr>
        <w:rFonts w:ascii="Arial" w:hAnsi="Arial" w:hint="default"/>
      </w:rPr>
    </w:lvl>
    <w:lvl w:ilvl="4" w:tplc="93603804" w:tentative="1">
      <w:start w:val="1"/>
      <w:numFmt w:val="bullet"/>
      <w:lvlText w:val="•"/>
      <w:lvlJc w:val="left"/>
      <w:pPr>
        <w:tabs>
          <w:tab w:val="num" w:pos="3600"/>
        </w:tabs>
        <w:ind w:left="3600" w:hanging="360"/>
      </w:pPr>
      <w:rPr>
        <w:rFonts w:ascii="Arial" w:hAnsi="Arial" w:hint="default"/>
      </w:rPr>
    </w:lvl>
    <w:lvl w:ilvl="5" w:tplc="69EAC6AC" w:tentative="1">
      <w:start w:val="1"/>
      <w:numFmt w:val="bullet"/>
      <w:lvlText w:val="•"/>
      <w:lvlJc w:val="left"/>
      <w:pPr>
        <w:tabs>
          <w:tab w:val="num" w:pos="4320"/>
        </w:tabs>
        <w:ind w:left="4320" w:hanging="360"/>
      </w:pPr>
      <w:rPr>
        <w:rFonts w:ascii="Arial" w:hAnsi="Arial" w:hint="default"/>
      </w:rPr>
    </w:lvl>
    <w:lvl w:ilvl="6" w:tplc="6EA2D51E" w:tentative="1">
      <w:start w:val="1"/>
      <w:numFmt w:val="bullet"/>
      <w:lvlText w:val="•"/>
      <w:lvlJc w:val="left"/>
      <w:pPr>
        <w:tabs>
          <w:tab w:val="num" w:pos="5040"/>
        </w:tabs>
        <w:ind w:left="5040" w:hanging="360"/>
      </w:pPr>
      <w:rPr>
        <w:rFonts w:ascii="Arial" w:hAnsi="Arial" w:hint="default"/>
      </w:rPr>
    </w:lvl>
    <w:lvl w:ilvl="7" w:tplc="6CD21C88" w:tentative="1">
      <w:start w:val="1"/>
      <w:numFmt w:val="bullet"/>
      <w:lvlText w:val="•"/>
      <w:lvlJc w:val="left"/>
      <w:pPr>
        <w:tabs>
          <w:tab w:val="num" w:pos="5760"/>
        </w:tabs>
        <w:ind w:left="5760" w:hanging="360"/>
      </w:pPr>
      <w:rPr>
        <w:rFonts w:ascii="Arial" w:hAnsi="Arial" w:hint="default"/>
      </w:rPr>
    </w:lvl>
    <w:lvl w:ilvl="8" w:tplc="FCF4D99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5131D9"/>
    <w:multiLevelType w:val="hybridMultilevel"/>
    <w:tmpl w:val="936E47B0"/>
    <w:lvl w:ilvl="0" w:tplc="EA4894B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560B4D"/>
    <w:multiLevelType w:val="hybridMultilevel"/>
    <w:tmpl w:val="901E6F16"/>
    <w:lvl w:ilvl="0" w:tplc="41FE2FEA">
      <w:start w:val="1"/>
      <w:numFmt w:val="bullet"/>
      <w:lvlText w:val="•"/>
      <w:lvlJc w:val="left"/>
      <w:pPr>
        <w:tabs>
          <w:tab w:val="num" w:pos="720"/>
        </w:tabs>
        <w:ind w:left="720" w:hanging="360"/>
      </w:pPr>
      <w:rPr>
        <w:rFonts w:ascii="Arial" w:hAnsi="Arial" w:cs="Times New Roman" w:hint="default"/>
      </w:rPr>
    </w:lvl>
    <w:lvl w:ilvl="1" w:tplc="7FE03BF6">
      <w:numFmt w:val="bullet"/>
      <w:lvlText w:val="•"/>
      <w:lvlJc w:val="left"/>
      <w:pPr>
        <w:tabs>
          <w:tab w:val="num" w:pos="1440"/>
        </w:tabs>
        <w:ind w:left="1440" w:hanging="360"/>
      </w:pPr>
      <w:rPr>
        <w:rFonts w:ascii="Arial" w:hAnsi="Arial" w:cs="Times New Roman" w:hint="default"/>
      </w:rPr>
    </w:lvl>
    <w:lvl w:ilvl="2" w:tplc="9AE4CA64">
      <w:numFmt w:val="bullet"/>
      <w:lvlText w:val="•"/>
      <w:lvlJc w:val="left"/>
      <w:pPr>
        <w:tabs>
          <w:tab w:val="num" w:pos="2160"/>
        </w:tabs>
        <w:ind w:left="2160" w:hanging="360"/>
      </w:pPr>
      <w:rPr>
        <w:rFonts w:ascii="Arial" w:hAnsi="Arial" w:cs="Times New Roman" w:hint="default"/>
      </w:rPr>
    </w:lvl>
    <w:lvl w:ilvl="3" w:tplc="F190D9B2">
      <w:start w:val="1"/>
      <w:numFmt w:val="bullet"/>
      <w:lvlText w:val="•"/>
      <w:lvlJc w:val="left"/>
      <w:pPr>
        <w:tabs>
          <w:tab w:val="num" w:pos="2880"/>
        </w:tabs>
        <w:ind w:left="2880" w:hanging="360"/>
      </w:pPr>
      <w:rPr>
        <w:rFonts w:ascii="Arial" w:hAnsi="Arial" w:cs="Times New Roman" w:hint="default"/>
      </w:rPr>
    </w:lvl>
    <w:lvl w:ilvl="4" w:tplc="31E4446E">
      <w:start w:val="1"/>
      <w:numFmt w:val="bullet"/>
      <w:lvlText w:val="•"/>
      <w:lvlJc w:val="left"/>
      <w:pPr>
        <w:tabs>
          <w:tab w:val="num" w:pos="3600"/>
        </w:tabs>
        <w:ind w:left="3600" w:hanging="360"/>
      </w:pPr>
      <w:rPr>
        <w:rFonts w:ascii="Arial" w:hAnsi="Arial" w:cs="Times New Roman" w:hint="default"/>
      </w:rPr>
    </w:lvl>
    <w:lvl w:ilvl="5" w:tplc="80C6938A">
      <w:start w:val="1"/>
      <w:numFmt w:val="bullet"/>
      <w:lvlText w:val="•"/>
      <w:lvlJc w:val="left"/>
      <w:pPr>
        <w:tabs>
          <w:tab w:val="num" w:pos="4320"/>
        </w:tabs>
        <w:ind w:left="4320" w:hanging="360"/>
      </w:pPr>
      <w:rPr>
        <w:rFonts w:ascii="Arial" w:hAnsi="Arial" w:cs="Times New Roman" w:hint="default"/>
      </w:rPr>
    </w:lvl>
    <w:lvl w:ilvl="6" w:tplc="BA2C9876">
      <w:start w:val="1"/>
      <w:numFmt w:val="bullet"/>
      <w:lvlText w:val="•"/>
      <w:lvlJc w:val="left"/>
      <w:pPr>
        <w:tabs>
          <w:tab w:val="num" w:pos="5040"/>
        </w:tabs>
        <w:ind w:left="5040" w:hanging="360"/>
      </w:pPr>
      <w:rPr>
        <w:rFonts w:ascii="Arial" w:hAnsi="Arial" w:cs="Times New Roman" w:hint="default"/>
      </w:rPr>
    </w:lvl>
    <w:lvl w:ilvl="7" w:tplc="704A4658">
      <w:start w:val="1"/>
      <w:numFmt w:val="bullet"/>
      <w:lvlText w:val="•"/>
      <w:lvlJc w:val="left"/>
      <w:pPr>
        <w:tabs>
          <w:tab w:val="num" w:pos="5760"/>
        </w:tabs>
        <w:ind w:left="5760" w:hanging="360"/>
      </w:pPr>
      <w:rPr>
        <w:rFonts w:ascii="Arial" w:hAnsi="Arial" w:cs="Times New Roman" w:hint="default"/>
      </w:rPr>
    </w:lvl>
    <w:lvl w:ilvl="8" w:tplc="151660C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BA4119"/>
    <w:multiLevelType w:val="hybridMultilevel"/>
    <w:tmpl w:val="5058A6D0"/>
    <w:lvl w:ilvl="0" w:tplc="0F42D812">
      <w:start w:val="1"/>
      <w:numFmt w:val="bullet"/>
      <w:lvlText w:val="−"/>
      <w:lvlJc w:val="left"/>
      <w:pPr>
        <w:tabs>
          <w:tab w:val="num" w:pos="720"/>
        </w:tabs>
        <w:ind w:left="720" w:hanging="360"/>
      </w:pPr>
      <w:rPr>
        <w:rFonts w:ascii="Calibre Regular" w:hAnsi="Calibre Regular" w:hint="default"/>
      </w:rPr>
    </w:lvl>
    <w:lvl w:ilvl="1" w:tplc="C23AC7DA">
      <w:start w:val="1"/>
      <w:numFmt w:val="bullet"/>
      <w:lvlText w:val="−"/>
      <w:lvlJc w:val="left"/>
      <w:pPr>
        <w:tabs>
          <w:tab w:val="num" w:pos="1440"/>
        </w:tabs>
        <w:ind w:left="1440" w:hanging="360"/>
      </w:pPr>
      <w:rPr>
        <w:rFonts w:ascii="Calibre Regular" w:hAnsi="Calibre Regular" w:hint="default"/>
      </w:rPr>
    </w:lvl>
    <w:lvl w:ilvl="2" w:tplc="8DC2DADE">
      <w:start w:val="68"/>
      <w:numFmt w:val="bullet"/>
      <w:lvlText w:val="−"/>
      <w:lvlJc w:val="left"/>
      <w:pPr>
        <w:tabs>
          <w:tab w:val="num" w:pos="2160"/>
        </w:tabs>
        <w:ind w:left="2160" w:hanging="360"/>
      </w:pPr>
      <w:rPr>
        <w:rFonts w:ascii="Calibre Regular" w:hAnsi="Calibre Regular" w:hint="default"/>
      </w:rPr>
    </w:lvl>
    <w:lvl w:ilvl="3" w:tplc="F4AC2E14" w:tentative="1">
      <w:start w:val="1"/>
      <w:numFmt w:val="bullet"/>
      <w:lvlText w:val="−"/>
      <w:lvlJc w:val="left"/>
      <w:pPr>
        <w:tabs>
          <w:tab w:val="num" w:pos="2880"/>
        </w:tabs>
        <w:ind w:left="2880" w:hanging="360"/>
      </w:pPr>
      <w:rPr>
        <w:rFonts w:ascii="Calibre Regular" w:hAnsi="Calibre Regular" w:hint="default"/>
      </w:rPr>
    </w:lvl>
    <w:lvl w:ilvl="4" w:tplc="2820C2E2" w:tentative="1">
      <w:start w:val="1"/>
      <w:numFmt w:val="bullet"/>
      <w:lvlText w:val="−"/>
      <w:lvlJc w:val="left"/>
      <w:pPr>
        <w:tabs>
          <w:tab w:val="num" w:pos="3600"/>
        </w:tabs>
        <w:ind w:left="3600" w:hanging="360"/>
      </w:pPr>
      <w:rPr>
        <w:rFonts w:ascii="Calibre Regular" w:hAnsi="Calibre Regular" w:hint="default"/>
      </w:rPr>
    </w:lvl>
    <w:lvl w:ilvl="5" w:tplc="1556D298" w:tentative="1">
      <w:start w:val="1"/>
      <w:numFmt w:val="bullet"/>
      <w:lvlText w:val="−"/>
      <w:lvlJc w:val="left"/>
      <w:pPr>
        <w:tabs>
          <w:tab w:val="num" w:pos="4320"/>
        </w:tabs>
        <w:ind w:left="4320" w:hanging="360"/>
      </w:pPr>
      <w:rPr>
        <w:rFonts w:ascii="Calibre Regular" w:hAnsi="Calibre Regular" w:hint="default"/>
      </w:rPr>
    </w:lvl>
    <w:lvl w:ilvl="6" w:tplc="CF962B2C" w:tentative="1">
      <w:start w:val="1"/>
      <w:numFmt w:val="bullet"/>
      <w:lvlText w:val="−"/>
      <w:lvlJc w:val="left"/>
      <w:pPr>
        <w:tabs>
          <w:tab w:val="num" w:pos="5040"/>
        </w:tabs>
        <w:ind w:left="5040" w:hanging="360"/>
      </w:pPr>
      <w:rPr>
        <w:rFonts w:ascii="Calibre Regular" w:hAnsi="Calibre Regular" w:hint="default"/>
      </w:rPr>
    </w:lvl>
    <w:lvl w:ilvl="7" w:tplc="7BD65D68" w:tentative="1">
      <w:start w:val="1"/>
      <w:numFmt w:val="bullet"/>
      <w:lvlText w:val="−"/>
      <w:lvlJc w:val="left"/>
      <w:pPr>
        <w:tabs>
          <w:tab w:val="num" w:pos="5760"/>
        </w:tabs>
        <w:ind w:left="5760" w:hanging="360"/>
      </w:pPr>
      <w:rPr>
        <w:rFonts w:ascii="Calibre Regular" w:hAnsi="Calibre Regular" w:hint="default"/>
      </w:rPr>
    </w:lvl>
    <w:lvl w:ilvl="8" w:tplc="B1C2067C"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40C16492"/>
    <w:multiLevelType w:val="hybridMultilevel"/>
    <w:tmpl w:val="E25A2B28"/>
    <w:lvl w:ilvl="0" w:tplc="11DC81D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1B5CDA"/>
    <w:multiLevelType w:val="hybridMultilevel"/>
    <w:tmpl w:val="C436E6A2"/>
    <w:lvl w:ilvl="0" w:tplc="B1103A7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710119"/>
    <w:multiLevelType w:val="hybridMultilevel"/>
    <w:tmpl w:val="41F6DC0C"/>
    <w:lvl w:ilvl="0" w:tplc="04090001">
      <w:start w:val="1"/>
      <w:numFmt w:val="bullet"/>
      <w:lvlText w:val=""/>
      <w:lvlJc w:val="left"/>
      <w:pPr>
        <w:ind w:left="936" w:hanging="360"/>
      </w:pPr>
      <w:rPr>
        <w:rFonts w:ascii="Wingdings" w:hAnsi="Wingdings" w:hint="default"/>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8"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0"/>
  </w:num>
  <w:num w:numId="3">
    <w:abstractNumId w:val="3"/>
  </w:num>
  <w:num w:numId="4">
    <w:abstractNumId w:val="11"/>
  </w:num>
  <w:num w:numId="5">
    <w:abstractNumId w:val="4"/>
  </w:num>
  <w:num w:numId="6">
    <w:abstractNumId w:val="5"/>
  </w:num>
  <w:num w:numId="7">
    <w:abstractNumId w:val="7"/>
  </w:num>
  <w:num w:numId="8">
    <w:abstractNumId w:val="2"/>
  </w:num>
  <w:num w:numId="9">
    <w:abstractNumId w:val="18"/>
    <w:lvlOverride w:ilvl="0">
      <w:startOverride w:val="1"/>
    </w:lvlOverride>
  </w:num>
  <w:num w:numId="10">
    <w:abstractNumId w:val="14"/>
  </w:num>
  <w:num w:numId="11">
    <w:abstractNumId w:val="16"/>
  </w:num>
  <w:num w:numId="12">
    <w:abstractNumId w:val="6"/>
  </w:num>
  <w:num w:numId="13">
    <w:abstractNumId w:val="1"/>
  </w:num>
  <w:num w:numId="14">
    <w:abstractNumId w:val="15"/>
  </w:num>
  <w:num w:numId="15">
    <w:abstractNumId w:val="12"/>
  </w:num>
  <w:num w:numId="16">
    <w:abstractNumId w:val="9"/>
  </w:num>
  <w:num w:numId="17">
    <w:abstractNumId w:val="13"/>
  </w:num>
  <w:num w:numId="18">
    <w:abstractNumId w:val="8"/>
  </w:num>
  <w:num w:numId="19">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1E94"/>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3D84"/>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69B"/>
    <w:rsid w:val="00062D9A"/>
    <w:rsid w:val="000631CE"/>
    <w:rsid w:val="00063485"/>
    <w:rsid w:val="00063F57"/>
    <w:rsid w:val="000642AF"/>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1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11D"/>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4E1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EEB"/>
    <w:rsid w:val="00106FF1"/>
    <w:rsid w:val="0010795D"/>
    <w:rsid w:val="0011034F"/>
    <w:rsid w:val="00110851"/>
    <w:rsid w:val="001115C0"/>
    <w:rsid w:val="001115F4"/>
    <w:rsid w:val="001116D2"/>
    <w:rsid w:val="0011190B"/>
    <w:rsid w:val="00111969"/>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104A"/>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CBC"/>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78"/>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CB5"/>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0C5"/>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8F6"/>
    <w:rsid w:val="002059A3"/>
    <w:rsid w:val="00205AB2"/>
    <w:rsid w:val="00205B7E"/>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10C"/>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7E4"/>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08A"/>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01C"/>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5891"/>
    <w:rsid w:val="002B601A"/>
    <w:rsid w:val="002B61F1"/>
    <w:rsid w:val="002B64FE"/>
    <w:rsid w:val="002B694E"/>
    <w:rsid w:val="002B6D31"/>
    <w:rsid w:val="002B70A2"/>
    <w:rsid w:val="002B7D56"/>
    <w:rsid w:val="002B7D97"/>
    <w:rsid w:val="002C04C2"/>
    <w:rsid w:val="002C0818"/>
    <w:rsid w:val="002C0D11"/>
    <w:rsid w:val="002C1B17"/>
    <w:rsid w:val="002C203A"/>
    <w:rsid w:val="002C2AE9"/>
    <w:rsid w:val="002C2B29"/>
    <w:rsid w:val="002C2E8A"/>
    <w:rsid w:val="002C2FCD"/>
    <w:rsid w:val="002C3AE4"/>
    <w:rsid w:val="002C3E89"/>
    <w:rsid w:val="002C4052"/>
    <w:rsid w:val="002C42AA"/>
    <w:rsid w:val="002C4AF6"/>
    <w:rsid w:val="002C5533"/>
    <w:rsid w:val="002C5620"/>
    <w:rsid w:val="002C5A6B"/>
    <w:rsid w:val="002C61E0"/>
    <w:rsid w:val="002C640C"/>
    <w:rsid w:val="002C6D3C"/>
    <w:rsid w:val="002C782F"/>
    <w:rsid w:val="002C7A60"/>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140"/>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6A3E"/>
    <w:rsid w:val="003271E3"/>
    <w:rsid w:val="003272D0"/>
    <w:rsid w:val="003273DE"/>
    <w:rsid w:val="00327625"/>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DF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2DFF"/>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CD7"/>
    <w:rsid w:val="00402DC4"/>
    <w:rsid w:val="00402F2C"/>
    <w:rsid w:val="0040303D"/>
    <w:rsid w:val="0040379F"/>
    <w:rsid w:val="00403805"/>
    <w:rsid w:val="00403F25"/>
    <w:rsid w:val="00404011"/>
    <w:rsid w:val="004048D3"/>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917"/>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8F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46"/>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5FF"/>
    <w:rsid w:val="00564E58"/>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00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1C"/>
    <w:rsid w:val="005C772B"/>
    <w:rsid w:val="005C7A54"/>
    <w:rsid w:val="005C7CAD"/>
    <w:rsid w:val="005C7CF2"/>
    <w:rsid w:val="005C7EF8"/>
    <w:rsid w:val="005D01D7"/>
    <w:rsid w:val="005D02BC"/>
    <w:rsid w:val="005D02FA"/>
    <w:rsid w:val="005D047B"/>
    <w:rsid w:val="005D0790"/>
    <w:rsid w:val="005D0D3E"/>
    <w:rsid w:val="005D17BF"/>
    <w:rsid w:val="005D18B1"/>
    <w:rsid w:val="005D20FC"/>
    <w:rsid w:val="005D24A2"/>
    <w:rsid w:val="005D25D7"/>
    <w:rsid w:val="005D2A49"/>
    <w:rsid w:val="005D2C93"/>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2A49"/>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92A"/>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B3D"/>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1C"/>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17"/>
    <w:rsid w:val="006C4E89"/>
    <w:rsid w:val="006C50C3"/>
    <w:rsid w:val="006C51A3"/>
    <w:rsid w:val="006C54AC"/>
    <w:rsid w:val="006C566C"/>
    <w:rsid w:val="006C57EC"/>
    <w:rsid w:val="006C5C20"/>
    <w:rsid w:val="006C5FF1"/>
    <w:rsid w:val="006C6287"/>
    <w:rsid w:val="006C677C"/>
    <w:rsid w:val="006C6B58"/>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3D6C"/>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7B0"/>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889"/>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5A3"/>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700"/>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013"/>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6B8"/>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451"/>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6D"/>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2135"/>
    <w:rsid w:val="008C2236"/>
    <w:rsid w:val="008C2426"/>
    <w:rsid w:val="008C2453"/>
    <w:rsid w:val="008C26B4"/>
    <w:rsid w:val="008C2767"/>
    <w:rsid w:val="008C2BC8"/>
    <w:rsid w:val="008C3E8B"/>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4FE"/>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31A"/>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BD"/>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3E3"/>
    <w:rsid w:val="009954AD"/>
    <w:rsid w:val="00995B2E"/>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781"/>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77"/>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9CD"/>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B5B"/>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4C3"/>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0D63"/>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B26"/>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09"/>
    <w:rsid w:val="00B076A7"/>
    <w:rsid w:val="00B076C4"/>
    <w:rsid w:val="00B0784C"/>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8AD"/>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72E"/>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F89"/>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98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DA"/>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9CD"/>
    <w:rsid w:val="00C66C34"/>
    <w:rsid w:val="00C67F34"/>
    <w:rsid w:val="00C70366"/>
    <w:rsid w:val="00C7040D"/>
    <w:rsid w:val="00C70B8C"/>
    <w:rsid w:val="00C71327"/>
    <w:rsid w:val="00C71468"/>
    <w:rsid w:val="00C723AF"/>
    <w:rsid w:val="00C723CA"/>
    <w:rsid w:val="00C72EF5"/>
    <w:rsid w:val="00C7320B"/>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46"/>
    <w:rsid w:val="00C922C5"/>
    <w:rsid w:val="00C92352"/>
    <w:rsid w:val="00C923B7"/>
    <w:rsid w:val="00C927AB"/>
    <w:rsid w:val="00C92C2A"/>
    <w:rsid w:val="00C930DD"/>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F9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293"/>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B5B"/>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7CB"/>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0"/>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4F4"/>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34D"/>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3A"/>
    <w:rsid w:val="00DE21CF"/>
    <w:rsid w:val="00DE279F"/>
    <w:rsid w:val="00DE2D4B"/>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0E4A"/>
    <w:rsid w:val="00E11C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41B"/>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4E2"/>
    <w:rsid w:val="00E939E4"/>
    <w:rsid w:val="00E93A7A"/>
    <w:rsid w:val="00E93B3D"/>
    <w:rsid w:val="00E93D80"/>
    <w:rsid w:val="00E94307"/>
    <w:rsid w:val="00E94762"/>
    <w:rsid w:val="00E95754"/>
    <w:rsid w:val="00E959A9"/>
    <w:rsid w:val="00E95A9A"/>
    <w:rsid w:val="00E9627E"/>
    <w:rsid w:val="00E96579"/>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877"/>
    <w:rsid w:val="00EB296A"/>
    <w:rsid w:val="00EB3495"/>
    <w:rsid w:val="00EB3828"/>
    <w:rsid w:val="00EB3953"/>
    <w:rsid w:val="00EB3C79"/>
    <w:rsid w:val="00EB3CE0"/>
    <w:rsid w:val="00EB3DB0"/>
    <w:rsid w:val="00EB410B"/>
    <w:rsid w:val="00EB4128"/>
    <w:rsid w:val="00EB42C8"/>
    <w:rsid w:val="00EB461B"/>
    <w:rsid w:val="00EB534C"/>
    <w:rsid w:val="00EB54B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51C"/>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1FA4"/>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A49"/>
    <w:rsid w:val="00F71026"/>
    <w:rsid w:val="00F71042"/>
    <w:rsid w:val="00F710A0"/>
    <w:rsid w:val="00F710D9"/>
    <w:rsid w:val="00F71976"/>
    <w:rsid w:val="00F71F79"/>
    <w:rsid w:val="00F7219A"/>
    <w:rsid w:val="00F721A1"/>
    <w:rsid w:val="00F724E3"/>
    <w:rsid w:val="00F727AA"/>
    <w:rsid w:val="00F72C94"/>
    <w:rsid w:val="00F739A0"/>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8A0"/>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5C40"/>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16D9"/>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C4E1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67210623">
      <w:bodyDiv w:val="1"/>
      <w:marLeft w:val="0"/>
      <w:marRight w:val="0"/>
      <w:marTop w:val="0"/>
      <w:marBottom w:val="0"/>
      <w:divBdr>
        <w:top w:val="none" w:sz="0" w:space="0" w:color="auto"/>
        <w:left w:val="none" w:sz="0" w:space="0" w:color="auto"/>
        <w:bottom w:val="none" w:sz="0" w:space="0" w:color="auto"/>
        <w:right w:val="none" w:sz="0" w:space="0" w:color="auto"/>
      </w:divBdr>
      <w:divsChild>
        <w:div w:id="2099472512">
          <w:marLeft w:val="1166"/>
          <w:marRight w:val="0"/>
          <w:marTop w:val="91"/>
          <w:marBottom w:val="0"/>
          <w:divBdr>
            <w:top w:val="none" w:sz="0" w:space="0" w:color="auto"/>
            <w:left w:val="none" w:sz="0" w:space="0" w:color="auto"/>
            <w:bottom w:val="none" w:sz="0" w:space="0" w:color="auto"/>
            <w:right w:val="none" w:sz="0" w:space="0" w:color="auto"/>
          </w:divBdr>
        </w:div>
        <w:div w:id="703754964">
          <w:marLeft w:val="1166"/>
          <w:marRight w:val="0"/>
          <w:marTop w:val="91"/>
          <w:marBottom w:val="0"/>
          <w:divBdr>
            <w:top w:val="none" w:sz="0" w:space="0" w:color="auto"/>
            <w:left w:val="none" w:sz="0" w:space="0" w:color="auto"/>
            <w:bottom w:val="none" w:sz="0" w:space="0" w:color="auto"/>
            <w:right w:val="none" w:sz="0" w:space="0" w:color="auto"/>
          </w:divBdr>
        </w:div>
        <w:div w:id="1620529368">
          <w:marLeft w:val="1627"/>
          <w:marRight w:val="0"/>
          <w:marTop w:val="82"/>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685883">
      <w:bodyDiv w:val="1"/>
      <w:marLeft w:val="0"/>
      <w:marRight w:val="0"/>
      <w:marTop w:val="0"/>
      <w:marBottom w:val="0"/>
      <w:divBdr>
        <w:top w:val="none" w:sz="0" w:space="0" w:color="auto"/>
        <w:left w:val="none" w:sz="0" w:space="0" w:color="auto"/>
        <w:bottom w:val="none" w:sz="0" w:space="0" w:color="auto"/>
        <w:right w:val="none" w:sz="0" w:space="0" w:color="auto"/>
      </w:divBdr>
    </w:div>
    <w:div w:id="359480372">
      <w:bodyDiv w:val="1"/>
      <w:marLeft w:val="0"/>
      <w:marRight w:val="0"/>
      <w:marTop w:val="0"/>
      <w:marBottom w:val="0"/>
      <w:divBdr>
        <w:top w:val="none" w:sz="0" w:space="0" w:color="auto"/>
        <w:left w:val="none" w:sz="0" w:space="0" w:color="auto"/>
        <w:bottom w:val="none" w:sz="0" w:space="0" w:color="auto"/>
        <w:right w:val="none" w:sz="0" w:space="0" w:color="auto"/>
      </w:divBdr>
      <w:divsChild>
        <w:div w:id="692802588">
          <w:marLeft w:val="446"/>
          <w:marRight w:val="0"/>
          <w:marTop w:val="0"/>
          <w:marBottom w:val="0"/>
          <w:divBdr>
            <w:top w:val="none" w:sz="0" w:space="0" w:color="auto"/>
            <w:left w:val="none" w:sz="0" w:space="0" w:color="auto"/>
            <w:bottom w:val="none" w:sz="0" w:space="0" w:color="auto"/>
            <w:right w:val="none" w:sz="0" w:space="0" w:color="auto"/>
          </w:divBdr>
        </w:div>
        <w:div w:id="1690837862">
          <w:marLeft w:val="1166"/>
          <w:marRight w:val="0"/>
          <w:marTop w:val="0"/>
          <w:marBottom w:val="0"/>
          <w:divBdr>
            <w:top w:val="none" w:sz="0" w:space="0" w:color="auto"/>
            <w:left w:val="none" w:sz="0" w:space="0" w:color="auto"/>
            <w:bottom w:val="none" w:sz="0" w:space="0" w:color="auto"/>
            <w:right w:val="none" w:sz="0" w:space="0" w:color="auto"/>
          </w:divBdr>
        </w:div>
        <w:div w:id="2054496976">
          <w:marLeft w:val="1166"/>
          <w:marRight w:val="0"/>
          <w:marTop w:val="0"/>
          <w:marBottom w:val="0"/>
          <w:divBdr>
            <w:top w:val="none" w:sz="0" w:space="0" w:color="auto"/>
            <w:left w:val="none" w:sz="0" w:space="0" w:color="auto"/>
            <w:bottom w:val="none" w:sz="0" w:space="0" w:color="auto"/>
            <w:right w:val="none" w:sz="0" w:space="0" w:color="auto"/>
          </w:divBdr>
        </w:div>
      </w:divsChild>
    </w:div>
    <w:div w:id="394091273">
      <w:bodyDiv w:val="1"/>
      <w:marLeft w:val="0"/>
      <w:marRight w:val="0"/>
      <w:marTop w:val="0"/>
      <w:marBottom w:val="0"/>
      <w:divBdr>
        <w:top w:val="none" w:sz="0" w:space="0" w:color="auto"/>
        <w:left w:val="none" w:sz="0" w:space="0" w:color="auto"/>
        <w:bottom w:val="none" w:sz="0" w:space="0" w:color="auto"/>
        <w:right w:val="none" w:sz="0" w:space="0" w:color="auto"/>
      </w:divBdr>
    </w:div>
    <w:div w:id="419066265">
      <w:bodyDiv w:val="1"/>
      <w:marLeft w:val="0"/>
      <w:marRight w:val="0"/>
      <w:marTop w:val="0"/>
      <w:marBottom w:val="0"/>
      <w:divBdr>
        <w:top w:val="none" w:sz="0" w:space="0" w:color="auto"/>
        <w:left w:val="none" w:sz="0" w:space="0" w:color="auto"/>
        <w:bottom w:val="none" w:sz="0" w:space="0" w:color="auto"/>
        <w:right w:val="none" w:sz="0" w:space="0" w:color="auto"/>
      </w:divBdr>
      <w:divsChild>
        <w:div w:id="1708069432">
          <w:marLeft w:val="547"/>
          <w:marRight w:val="0"/>
          <w:marTop w:val="106"/>
          <w:marBottom w:val="0"/>
          <w:divBdr>
            <w:top w:val="none" w:sz="0" w:space="0" w:color="auto"/>
            <w:left w:val="none" w:sz="0" w:space="0" w:color="auto"/>
            <w:bottom w:val="none" w:sz="0" w:space="0" w:color="auto"/>
            <w:right w:val="none" w:sz="0" w:space="0" w:color="auto"/>
          </w:divBdr>
        </w:div>
        <w:div w:id="1876844153">
          <w:marLeft w:val="1166"/>
          <w:marRight w:val="0"/>
          <w:marTop w:val="96"/>
          <w:marBottom w:val="0"/>
          <w:divBdr>
            <w:top w:val="none" w:sz="0" w:space="0" w:color="auto"/>
            <w:left w:val="none" w:sz="0" w:space="0" w:color="auto"/>
            <w:bottom w:val="none" w:sz="0" w:space="0" w:color="auto"/>
            <w:right w:val="none" w:sz="0" w:space="0" w:color="auto"/>
          </w:divBdr>
        </w:div>
        <w:div w:id="1836335075">
          <w:marLeft w:val="1166"/>
          <w:marRight w:val="0"/>
          <w:marTop w:val="96"/>
          <w:marBottom w:val="0"/>
          <w:divBdr>
            <w:top w:val="none" w:sz="0" w:space="0" w:color="auto"/>
            <w:left w:val="none" w:sz="0" w:space="0" w:color="auto"/>
            <w:bottom w:val="none" w:sz="0" w:space="0" w:color="auto"/>
            <w:right w:val="none" w:sz="0" w:space="0" w:color="auto"/>
          </w:divBdr>
        </w:div>
        <w:div w:id="1328485868">
          <w:marLeft w:val="1166"/>
          <w:marRight w:val="0"/>
          <w:marTop w:val="96"/>
          <w:marBottom w:val="0"/>
          <w:divBdr>
            <w:top w:val="none" w:sz="0" w:space="0" w:color="auto"/>
            <w:left w:val="none" w:sz="0" w:space="0" w:color="auto"/>
            <w:bottom w:val="none" w:sz="0" w:space="0" w:color="auto"/>
            <w:right w:val="none" w:sz="0" w:space="0" w:color="auto"/>
          </w:divBdr>
        </w:div>
        <w:div w:id="883249685">
          <w:marLeft w:val="547"/>
          <w:marRight w:val="0"/>
          <w:marTop w:val="106"/>
          <w:marBottom w:val="0"/>
          <w:divBdr>
            <w:top w:val="none" w:sz="0" w:space="0" w:color="auto"/>
            <w:left w:val="none" w:sz="0" w:space="0" w:color="auto"/>
            <w:bottom w:val="none" w:sz="0" w:space="0" w:color="auto"/>
            <w:right w:val="none" w:sz="0" w:space="0" w:color="auto"/>
          </w:divBdr>
        </w:div>
        <w:div w:id="241984839">
          <w:marLeft w:val="1166"/>
          <w:marRight w:val="0"/>
          <w:marTop w:val="96"/>
          <w:marBottom w:val="0"/>
          <w:divBdr>
            <w:top w:val="none" w:sz="0" w:space="0" w:color="auto"/>
            <w:left w:val="none" w:sz="0" w:space="0" w:color="auto"/>
            <w:bottom w:val="none" w:sz="0" w:space="0" w:color="auto"/>
            <w:right w:val="none" w:sz="0" w:space="0" w:color="auto"/>
          </w:divBdr>
        </w:div>
        <w:div w:id="1642616635">
          <w:marLeft w:val="1166"/>
          <w:marRight w:val="0"/>
          <w:marTop w:val="96"/>
          <w:marBottom w:val="0"/>
          <w:divBdr>
            <w:top w:val="none" w:sz="0" w:space="0" w:color="auto"/>
            <w:left w:val="none" w:sz="0" w:space="0" w:color="auto"/>
            <w:bottom w:val="none" w:sz="0" w:space="0" w:color="auto"/>
            <w:right w:val="none" w:sz="0" w:space="0" w:color="auto"/>
          </w:divBdr>
        </w:div>
        <w:div w:id="909660078">
          <w:marLeft w:val="547"/>
          <w:marRight w:val="0"/>
          <w:marTop w:val="106"/>
          <w:marBottom w:val="0"/>
          <w:divBdr>
            <w:top w:val="none" w:sz="0" w:space="0" w:color="auto"/>
            <w:left w:val="none" w:sz="0" w:space="0" w:color="auto"/>
            <w:bottom w:val="none" w:sz="0" w:space="0" w:color="auto"/>
            <w:right w:val="none" w:sz="0" w:space="0" w:color="auto"/>
          </w:divBdr>
        </w:div>
        <w:div w:id="620494957">
          <w:marLeft w:val="1166"/>
          <w:marRight w:val="0"/>
          <w:marTop w:val="96"/>
          <w:marBottom w:val="0"/>
          <w:divBdr>
            <w:top w:val="none" w:sz="0" w:space="0" w:color="auto"/>
            <w:left w:val="none" w:sz="0" w:space="0" w:color="auto"/>
            <w:bottom w:val="none" w:sz="0" w:space="0" w:color="auto"/>
            <w:right w:val="none" w:sz="0" w:space="0" w:color="auto"/>
          </w:divBdr>
        </w:div>
        <w:div w:id="482284059">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6570734">
      <w:bodyDiv w:val="1"/>
      <w:marLeft w:val="0"/>
      <w:marRight w:val="0"/>
      <w:marTop w:val="0"/>
      <w:marBottom w:val="0"/>
      <w:divBdr>
        <w:top w:val="none" w:sz="0" w:space="0" w:color="auto"/>
        <w:left w:val="none" w:sz="0" w:space="0" w:color="auto"/>
        <w:bottom w:val="none" w:sz="0" w:space="0" w:color="auto"/>
        <w:right w:val="none" w:sz="0" w:space="0" w:color="auto"/>
      </w:divBdr>
      <w:divsChild>
        <w:div w:id="51586495">
          <w:marLeft w:val="547"/>
          <w:marRight w:val="0"/>
          <w:marTop w:val="115"/>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92833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8371242">
      <w:bodyDiv w:val="1"/>
      <w:marLeft w:val="0"/>
      <w:marRight w:val="0"/>
      <w:marTop w:val="0"/>
      <w:marBottom w:val="0"/>
      <w:divBdr>
        <w:top w:val="none" w:sz="0" w:space="0" w:color="auto"/>
        <w:left w:val="none" w:sz="0" w:space="0" w:color="auto"/>
        <w:bottom w:val="none" w:sz="0" w:space="0" w:color="auto"/>
        <w:right w:val="none" w:sz="0" w:space="0" w:color="auto"/>
      </w:divBdr>
      <w:divsChild>
        <w:div w:id="1192187135">
          <w:marLeft w:val="547"/>
          <w:marRight w:val="0"/>
          <w:marTop w:val="10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4274916">
      <w:bodyDiv w:val="1"/>
      <w:marLeft w:val="0"/>
      <w:marRight w:val="0"/>
      <w:marTop w:val="0"/>
      <w:marBottom w:val="0"/>
      <w:divBdr>
        <w:top w:val="none" w:sz="0" w:space="0" w:color="auto"/>
        <w:left w:val="none" w:sz="0" w:space="0" w:color="auto"/>
        <w:bottom w:val="none" w:sz="0" w:space="0" w:color="auto"/>
        <w:right w:val="none" w:sz="0" w:space="0" w:color="auto"/>
      </w:divBdr>
      <w:divsChild>
        <w:div w:id="1021786338">
          <w:marLeft w:val="547"/>
          <w:marRight w:val="0"/>
          <w:marTop w:val="10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3324062">
      <w:bodyDiv w:val="1"/>
      <w:marLeft w:val="0"/>
      <w:marRight w:val="0"/>
      <w:marTop w:val="0"/>
      <w:marBottom w:val="0"/>
      <w:divBdr>
        <w:top w:val="none" w:sz="0" w:space="0" w:color="auto"/>
        <w:left w:val="none" w:sz="0" w:space="0" w:color="auto"/>
        <w:bottom w:val="none" w:sz="0" w:space="0" w:color="auto"/>
        <w:right w:val="none" w:sz="0" w:space="0" w:color="auto"/>
      </w:divBdr>
      <w:divsChild>
        <w:div w:id="1920284114">
          <w:marLeft w:val="547"/>
          <w:marRight w:val="0"/>
          <w:marTop w:val="115"/>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211984">
      <w:bodyDiv w:val="1"/>
      <w:marLeft w:val="0"/>
      <w:marRight w:val="0"/>
      <w:marTop w:val="0"/>
      <w:marBottom w:val="0"/>
      <w:divBdr>
        <w:top w:val="none" w:sz="0" w:space="0" w:color="auto"/>
        <w:left w:val="none" w:sz="0" w:space="0" w:color="auto"/>
        <w:bottom w:val="none" w:sz="0" w:space="0" w:color="auto"/>
        <w:right w:val="none" w:sz="0" w:space="0" w:color="auto"/>
      </w:divBdr>
      <w:divsChild>
        <w:div w:id="1914509102">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HR33RHYHUWRF-4-2102</_dlc_DocId>
    <_dlc_DocIdUrl xmlns="c06861ca-3f08-4d07-bff7-bb15bac121f4">
      <Url>https://projects.qualcomm.com/sites/pentari/_layouts/15/DocIdRedir.aspx?ID=HR33RHYHUWRF-4-2102</Url>
      <Description>HR33RHYHUWRF-4-2102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58122AF7-1896-4906-95BA-D0ADA59F8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839</Words>
  <Characters>4787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Alberto Rico Alvarino</cp:lastModifiedBy>
  <cp:revision>7</cp:revision>
  <cp:lastPrinted>2014-11-07T05:38:00Z</cp:lastPrinted>
  <dcterms:created xsi:type="dcterms:W3CDTF">2017-03-25T02:03:00Z</dcterms:created>
  <dcterms:modified xsi:type="dcterms:W3CDTF">2017-05-06T01:14:00Z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8bfe8c40-0656-49bd-83ef-1bf52d727df9</vt:lpwstr>
  </property>
</Properties>
</file>